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57" w:rsidRDefault="00422659">
      <w:pPr>
        <w:pStyle w:val="Titolo1"/>
      </w:pPr>
      <w:r>
        <w:t>Tutto il Piano Nazionale Scuola Digitale spiegato in 35 punti</w:t>
      </w:r>
    </w:p>
    <w:p w:rsidR="00A46057" w:rsidRDefault="00422659">
      <w:pPr>
        <w:spacing w:after="59"/>
        <w:ind w:left="-5" w:right="15"/>
      </w:pPr>
      <w:r>
        <w:t xml:space="preserve">Martedì 27 ottobre il ministro dell’istruzione </w:t>
      </w:r>
      <w:r>
        <w:rPr>
          <w:b/>
        </w:rPr>
        <w:t>Stefania Giannini</w:t>
      </w:r>
      <w:r>
        <w:t xml:space="preserve"> ha presentato il </w:t>
      </w:r>
      <w:r>
        <w:rPr>
          <w:b/>
        </w:rPr>
        <w:t>Piano Nazionale per la</w:t>
      </w:r>
      <w:r>
        <w:rPr>
          <w:b/>
        </w:rPr>
        <w:t xml:space="preserve"> Scuola Digitale (PNSD)</w:t>
      </w:r>
      <w:r>
        <w:t xml:space="preserve">, un documento pensato per </w:t>
      </w:r>
      <w:r>
        <w:rPr>
          <w:b/>
        </w:rPr>
        <w:t>guidare le scuole in un percorso di innovazione e digitalizzazione</w:t>
      </w:r>
      <w:r>
        <w:t>, come previsto nella riforma della Scuola approvata quest’anno (legge 107/2015 – La Buona Scuola). Il documento ha funzione di indirizzo; p</w:t>
      </w:r>
      <w:r>
        <w:t xml:space="preserve">unta a </w:t>
      </w:r>
      <w:r>
        <w:rPr>
          <w:b/>
        </w:rPr>
        <w:t xml:space="preserve">introdurre le nuove tecnologie nelle scuole, a diffondere l’idea di apprendimento permanente (life-long </w:t>
      </w:r>
      <w:proofErr w:type="spellStart"/>
      <w:r>
        <w:rPr>
          <w:b/>
        </w:rPr>
        <w:t>learning</w:t>
      </w:r>
      <w:proofErr w:type="spellEnd"/>
      <w:r>
        <w:rPr>
          <w:b/>
        </w:rPr>
        <w:t>) ed estendere il concetto di scuola dal luogo fisico a spazi di apprendimento virtuali.</w:t>
      </w:r>
      <w:r>
        <w:t xml:space="preserve"> Le azioni previste, </w:t>
      </w:r>
      <w:r>
        <w:rPr>
          <w:b/>
        </w:rPr>
        <w:t>(35 punti),</w:t>
      </w:r>
      <w:r>
        <w:t xml:space="preserve"> sono state già f</w:t>
      </w:r>
      <w:r>
        <w:t>inanziate, attingendo alle risorse messe a disposizione dalla legge La Buona Scuola e dai Fondi strutturali Europei (</w:t>
      </w:r>
      <w:proofErr w:type="spellStart"/>
      <w:r>
        <w:t>Pon</w:t>
      </w:r>
      <w:proofErr w:type="spellEnd"/>
      <w:r>
        <w:t xml:space="preserve"> Istruzione 2014-2020) </w:t>
      </w:r>
      <w:r>
        <w:rPr>
          <w:b/>
        </w:rPr>
        <w:t>per un totale di un miliardo di euro.</w:t>
      </w:r>
      <w:r>
        <w:t xml:space="preserve"> Il Piano sarà attuato</w:t>
      </w:r>
      <w:r>
        <w:rPr>
          <w:b/>
        </w:rPr>
        <w:t xml:space="preserve"> da qui al 2020</w:t>
      </w:r>
      <w:r>
        <w:t>.  Abbiamo letto il PNSD per capire qua</w:t>
      </w:r>
      <w:r>
        <w:t>nti soldi verranno spesi sulle singole azioni e come si intende attuarle.</w:t>
      </w:r>
    </w:p>
    <w:p w:rsidR="00A46057" w:rsidRDefault="00422659">
      <w:pPr>
        <w:spacing w:after="397" w:line="259" w:lineRule="auto"/>
        <w:ind w:left="46" w:right="0" w:firstLine="0"/>
      </w:pPr>
      <w:r>
        <w:rPr>
          <w:noProof/>
        </w:rPr>
        <w:drawing>
          <wp:inline distT="0" distB="0" distL="0" distR="0">
            <wp:extent cx="6759439" cy="4221002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9439" cy="422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57" w:rsidRDefault="00422659">
      <w:pPr>
        <w:pStyle w:val="Titolo2"/>
        <w:ind w:left="-5"/>
      </w:pPr>
      <w:r>
        <w:t>Cosa si è fatto dal 2007 a oggi per digitalizzare la scuola</w:t>
      </w:r>
    </w:p>
    <w:p w:rsidR="00A46057" w:rsidRDefault="00422659">
      <w:pPr>
        <w:ind w:left="-5" w:right="15"/>
      </w:pPr>
      <w:r>
        <w:t xml:space="preserve">Nel 2007 si comincia a discutere di Piano Nazionale per la Scuola Digitale: </w:t>
      </w:r>
      <w:r>
        <w:rPr>
          <w:b/>
        </w:rPr>
        <w:t xml:space="preserve">si punta a modificare gli ambienti. </w:t>
      </w:r>
      <w:r>
        <w:t>Così, da</w:t>
      </w:r>
      <w:r>
        <w:t xml:space="preserve">l 2008 al 2012 si introducono le </w:t>
      </w:r>
      <w:proofErr w:type="spellStart"/>
      <w:r>
        <w:rPr>
          <w:b/>
        </w:rPr>
        <w:t>lim</w:t>
      </w:r>
      <w:proofErr w:type="spellEnd"/>
      <w:r>
        <w:t xml:space="preserve"> (lavagna interattiva multimediale) nelle classi, si stilano le prime procedure per realizzare prima le</w:t>
      </w:r>
      <w:r>
        <w:rPr>
          <w:b/>
        </w:rPr>
        <w:t xml:space="preserve"> Classi 2.0</w:t>
      </w:r>
      <w:r>
        <w:t xml:space="preserve"> e poi le </w:t>
      </w:r>
      <w:r>
        <w:rPr>
          <w:b/>
        </w:rPr>
        <w:t>Scuole 2.0</w:t>
      </w:r>
      <w:r>
        <w:t xml:space="preserve">. </w:t>
      </w:r>
      <w:r>
        <w:rPr>
          <w:b/>
        </w:rPr>
        <w:t xml:space="preserve">“Azione </w:t>
      </w:r>
      <w:proofErr w:type="spellStart"/>
      <w:r>
        <w:rPr>
          <w:b/>
        </w:rPr>
        <w:t>lim</w:t>
      </w:r>
      <w:proofErr w:type="spellEnd"/>
      <w:r>
        <w:rPr>
          <w:b/>
        </w:rPr>
        <w:t>”</w:t>
      </w:r>
      <w:r>
        <w:t xml:space="preserve"> comincia nel 2008 e prevede la diffusione capillare della Lavagna Inter</w:t>
      </w:r>
      <w:r>
        <w:t xml:space="preserve">attiva Multimediale. Con questa azione sono state assegnate, secondo i dati pubblicati dal </w:t>
      </w:r>
      <w:proofErr w:type="spellStart"/>
      <w:r>
        <w:t>Miur</w:t>
      </w:r>
      <w:proofErr w:type="spellEnd"/>
      <w:r>
        <w:t xml:space="preserve">, 35.114 </w:t>
      </w:r>
      <w:proofErr w:type="spellStart"/>
      <w:r>
        <w:t>lim</w:t>
      </w:r>
      <w:proofErr w:type="spellEnd"/>
      <w:r>
        <w:t xml:space="preserve"> grazie ad uno stanziamento complessivo di 93.354.571 euro, di cui 80.937.600 euro per l’acquisto di </w:t>
      </w:r>
      <w:proofErr w:type="spellStart"/>
      <w:r>
        <w:t>lim</w:t>
      </w:r>
      <w:proofErr w:type="spellEnd"/>
      <w:r>
        <w:t xml:space="preserve"> e 12.416.971 euro per la formazione di 72.35</w:t>
      </w:r>
      <w:r>
        <w:t>7 docenti all’uso sia tecnico che didattico delle lavagne.</w:t>
      </w:r>
    </w:p>
    <w:p w:rsidR="00A46057" w:rsidRDefault="00422659">
      <w:pPr>
        <w:spacing w:after="319"/>
        <w:ind w:left="-5" w:right="15"/>
      </w:pPr>
      <w:r>
        <w:rPr>
          <w:b/>
        </w:rPr>
        <w:t>Le classi 2.0 sono partite nel 2009</w:t>
      </w:r>
      <w:r>
        <w:t xml:space="preserve"> e prevedevano la realizzazione di laboratori nelle classi, per offrire agli studenti ambienti di apprendimento innovativi. Dal 2009 al 2012 sono state coinvolte </w:t>
      </w:r>
      <w:r>
        <w:t xml:space="preserve">416 classi di ogni ordine per un finanziamento complessivo di 8.580.000 euro per l’acquisto delle dotazioni tecnologiche e di 1.944.857 euro per supporto e formazione. </w:t>
      </w:r>
      <w:r>
        <w:rPr>
          <w:b/>
        </w:rPr>
        <w:t>“Azione Editoria digitale scolastica” comincia nel 2010</w:t>
      </w:r>
      <w:r>
        <w:t xml:space="preserve"> per realizzare contenuti digital</w:t>
      </w:r>
      <w:r>
        <w:t xml:space="preserve">i in 20 istituti scolastici, ripartiti tra i vari ordini e gradi di scuola, con un finanziamento di circa 4.400.000 euro. Altri accordi sono stati sottoscritti nel </w:t>
      </w:r>
      <w:r>
        <w:rPr>
          <w:b/>
        </w:rPr>
        <w:t>2012</w:t>
      </w:r>
      <w:r>
        <w:t xml:space="preserve"> per investimenti ulteriori di </w:t>
      </w:r>
      <w:r>
        <w:rPr>
          <w:b/>
        </w:rPr>
        <w:t>33 milioni di euro</w:t>
      </w:r>
      <w:r>
        <w:t>: hanno consentito di assegnare ulterio</w:t>
      </w:r>
      <w:r>
        <w:t xml:space="preserve">ri 1.931 </w:t>
      </w:r>
      <w:proofErr w:type="spellStart"/>
      <w:r>
        <w:t>lim</w:t>
      </w:r>
      <w:proofErr w:type="spellEnd"/>
      <w:r>
        <w:t>, formare 905 Classi 2.0 e 23 Scuole 2.0.</w:t>
      </w:r>
    </w:p>
    <w:p w:rsidR="00A46057" w:rsidRDefault="00422659">
      <w:pPr>
        <w:pStyle w:val="Titolo2"/>
        <w:ind w:left="-5"/>
      </w:pPr>
      <w:r>
        <w:lastRenderedPageBreak/>
        <w:t>Digitale tra i banchi: i numeri</w:t>
      </w:r>
    </w:p>
    <w:p w:rsidR="00A46057" w:rsidRDefault="00422659">
      <w:pPr>
        <w:spacing w:after="0"/>
        <w:ind w:left="-5" w:right="15"/>
      </w:pPr>
      <w:r>
        <w:rPr>
          <w:b/>
        </w:rPr>
        <w:t xml:space="preserve">L’Osservatorio tecnologico del </w:t>
      </w:r>
      <w:proofErr w:type="spellStart"/>
      <w:r>
        <w:rPr>
          <w:b/>
        </w:rPr>
        <w:t>Miur</w:t>
      </w:r>
      <w:proofErr w:type="spellEnd"/>
      <w:r>
        <w:t xml:space="preserve"> è stato istituito nel 2000 e si occupa di raccogliere i dati sul processo di digitalizzazione delle scuole. L’ultima analisi conclusa </w:t>
      </w:r>
      <w:r>
        <w:t>(relativa all’anno scolastico 2014-2015) è stata articolata su</w:t>
      </w:r>
    </w:p>
    <w:p w:rsidR="00A46057" w:rsidRDefault="00422659">
      <w:pPr>
        <w:ind w:left="-5" w:right="15"/>
      </w:pPr>
      <w:r>
        <w:t xml:space="preserve">3 assi principali: </w:t>
      </w:r>
      <w:r>
        <w:rPr>
          <w:b/>
        </w:rPr>
        <w:t>dematerializzazione dei servizi</w:t>
      </w:r>
      <w:r>
        <w:t xml:space="preserve"> (siti e portali, comunicazione scuola-famiglia, registro elettronico, gestione dei contenuti didattici multimediali); </w:t>
      </w:r>
      <w:r>
        <w:rPr>
          <w:b/>
        </w:rPr>
        <w:t>dotazione tecnologica de</w:t>
      </w:r>
      <w:r>
        <w:rPr>
          <w:b/>
        </w:rPr>
        <w:t>i laboratori e delle biblioteche</w:t>
      </w:r>
      <w:r>
        <w:t xml:space="preserve"> (connessioni, computer, </w:t>
      </w:r>
      <w:proofErr w:type="spellStart"/>
      <w:r>
        <w:t>lim</w:t>
      </w:r>
      <w:proofErr w:type="spellEnd"/>
      <w:r>
        <w:t xml:space="preserve"> e proiettori interattivi); </w:t>
      </w:r>
      <w:r>
        <w:rPr>
          <w:b/>
        </w:rPr>
        <w:t>dotazioni tecnologiche delle aule</w:t>
      </w:r>
      <w:r>
        <w:t xml:space="preserve"> (connessioni, </w:t>
      </w:r>
      <w:proofErr w:type="spellStart"/>
      <w:r>
        <w:t>devices</w:t>
      </w:r>
      <w:proofErr w:type="spellEnd"/>
      <w:r>
        <w:t xml:space="preserve"> fissi e mobili in dotazione a studenti e docenti, LIM e proiettori interattivi). Secondo le sue rilevazioni, nell’anno scolastico 2014-2015, il 70% delle classi è connessa in Rete in modalità cablata o wireless (ma generalmente con u</w:t>
      </w:r>
      <w:r>
        <w:t>na connessione inadatta alla didattica digitale),</w:t>
      </w:r>
      <w:r>
        <w:rPr>
          <w:b/>
        </w:rPr>
        <w:t xml:space="preserve"> il 41,9% è dotata di </w:t>
      </w:r>
      <w:proofErr w:type="spellStart"/>
      <w:r>
        <w:rPr>
          <w:b/>
        </w:rPr>
        <w:t>lim</w:t>
      </w:r>
      <w:proofErr w:type="spellEnd"/>
      <w:r>
        <w:rPr>
          <w:b/>
        </w:rPr>
        <w:t xml:space="preserve"> e il 6,1% di proiettore interattivo</w:t>
      </w:r>
      <w:r>
        <w:t xml:space="preserve">. Sono in totale 65.650 i laboratori delle scuole, per una media di 7,8 per istituto. Di questi, l’82,5% è connesso in Rete in modalità cablata o </w:t>
      </w:r>
      <w:r>
        <w:t>wireless, il 43,6% è dotato di LIM e il 16,9% di proiettore interattivo.</w:t>
      </w:r>
    </w:p>
    <w:p w:rsidR="00A46057" w:rsidRDefault="00422659">
      <w:pPr>
        <w:spacing w:after="135"/>
        <w:ind w:left="-5" w:right="15"/>
      </w:pPr>
      <w:r>
        <w:t xml:space="preserve">Il 99.3% delle istituzioni scolastiche ha un proprio sito web, il 58.3% utilizza forme di comunicazione scuola– famiglia online, </w:t>
      </w:r>
      <w:r>
        <w:rPr>
          <w:b/>
        </w:rPr>
        <w:t>il 69.2% utilizza una tipologia di registro elettronic</w:t>
      </w:r>
      <w:r>
        <w:rPr>
          <w:b/>
        </w:rPr>
        <w:t>o di classe</w:t>
      </w:r>
      <w:r>
        <w:t xml:space="preserve"> (non è attualmente disponibile un dato accurato di diffusione “per classe”), il 73.6% utilizza il registro elettronico del docente e infine il 16.5% utilizza forme di gestione centralizzata LMS (Learning Management Systems quali ad </w:t>
      </w:r>
      <w:proofErr w:type="spellStart"/>
      <w:r>
        <w:t>es</w:t>
      </w:r>
      <w:proofErr w:type="spellEnd"/>
      <w:r>
        <w:t xml:space="preserve">. </w:t>
      </w:r>
      <w:proofErr w:type="spellStart"/>
      <w:r>
        <w:t>Moodle</w:t>
      </w:r>
      <w:proofErr w:type="spellEnd"/>
      <w:r>
        <w:t xml:space="preserve">) </w:t>
      </w:r>
      <w:r>
        <w:t>per la didattica e i suoi contenuti.</w:t>
      </w:r>
    </w:p>
    <w:p w:rsidR="00A46057" w:rsidRDefault="00422659">
      <w:pPr>
        <w:spacing w:after="0" w:line="259" w:lineRule="auto"/>
        <w:ind w:left="46" w:right="0" w:firstLine="0"/>
      </w:pPr>
      <w:r>
        <w:rPr>
          <w:noProof/>
        </w:rPr>
        <w:drawing>
          <wp:inline distT="0" distB="0" distL="0" distR="0">
            <wp:extent cx="6759439" cy="5067148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439" cy="506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57" w:rsidRDefault="00422659">
      <w:pPr>
        <w:pStyle w:val="Titolo2"/>
        <w:ind w:left="-5"/>
      </w:pPr>
      <w:r>
        <w:t xml:space="preserve">Gli strumenti: il primo passo è portare fibra e </w:t>
      </w:r>
      <w:proofErr w:type="spellStart"/>
      <w:r>
        <w:t>wi-fi</w:t>
      </w:r>
      <w:proofErr w:type="spellEnd"/>
    </w:p>
    <w:p w:rsidR="00A46057" w:rsidRDefault="00422659">
      <w:pPr>
        <w:pStyle w:val="Titolo3"/>
        <w:ind w:left="-5"/>
      </w:pPr>
      <w:r>
        <w:t>1. FIBRA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Le risorse per attuarla fanno parte del Piano Banda Ultra Larga</w:t>
      </w:r>
    </w:p>
    <w:p w:rsidR="00A46057" w:rsidRDefault="00422659">
      <w:pPr>
        <w:ind w:left="-5" w:right="15"/>
      </w:pPr>
      <w:r>
        <w:rPr>
          <w:b/>
        </w:rPr>
        <w:t>Tempi:</w:t>
      </w:r>
      <w:r>
        <w:t xml:space="preserve"> da oggi al 2020</w:t>
      </w:r>
    </w:p>
    <w:p w:rsidR="00A46057" w:rsidRDefault="00422659">
      <w:pPr>
        <w:ind w:left="-5" w:right="15"/>
      </w:pPr>
      <w:r>
        <w:rPr>
          <w:b/>
        </w:rPr>
        <w:lastRenderedPageBreak/>
        <w:t>Obiettivi:</w:t>
      </w:r>
      <w:r>
        <w:t xml:space="preserve"> </w:t>
      </w:r>
      <w:r>
        <w:t xml:space="preserve">Ogni scuola deve essere raggiunta da fibra ottica, o comunque da una connessione in banda larga o ultra-larga, sufficientemente veloce per permettere, ad esempio, l’uso di soluzioni </w:t>
      </w:r>
      <w:proofErr w:type="spellStart"/>
      <w:r>
        <w:t>cloud</w:t>
      </w:r>
      <w:proofErr w:type="spellEnd"/>
      <w:r>
        <w:t xml:space="preserve"> per la didattica e l’uso di contenuti di apprendimento multimediali.</w:t>
      </w:r>
      <w:r>
        <w:t xml:space="preserve"> Gli interventi sono in corso e proseguiranno fino al 2020: l’obiettivo è che entro questa data tutte le scuole saranno raggiunte dalla fibra ottica in via prioritaria rispetto agli altri interventi del Piano Nazionale Banda Ultra Larga, e tutte le scuole </w:t>
      </w:r>
      <w:r>
        <w:t>potranno ricevere dai diversi operatori un’offerta di connettività in banda larga o ultra larga.</w:t>
      </w:r>
    </w:p>
    <w:p w:rsidR="00A46057" w:rsidRDefault="00422659">
      <w:pPr>
        <w:pStyle w:val="Titolo3"/>
        <w:ind w:left="-5"/>
      </w:pPr>
      <w:r>
        <w:t>2. CABLAGGIO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88,5 milioni di euro</w:t>
      </w:r>
    </w:p>
    <w:p w:rsidR="00A46057" w:rsidRDefault="00422659">
      <w:pPr>
        <w:ind w:left="-5" w:right="15"/>
      </w:pPr>
      <w:r>
        <w:rPr>
          <w:b/>
        </w:rPr>
        <w:t>Tempi:</w:t>
      </w:r>
      <w:r>
        <w:t xml:space="preserve"> ottobre-dicembre 2015</w:t>
      </w:r>
    </w:p>
    <w:p w:rsidR="00A46057" w:rsidRDefault="00422659">
      <w:pPr>
        <w:ind w:left="-5" w:right="15"/>
      </w:pPr>
      <w:r>
        <w:rPr>
          <w:b/>
        </w:rPr>
        <w:t>Obiettivi:</w:t>
      </w:r>
      <w:r>
        <w:t xml:space="preserve"> Le strutture interne alla scuola devono essere in grado di fornire, attraver</w:t>
      </w:r>
      <w:r>
        <w:t>so cablaggio LAN o wireless, un accesso diffuso, in ogni aula, laboratorio, corridoio e spazio comune. Gli investimenti prodotti negli anni 20132015 sul cablaggio interno delle scuole hanno permesso di raggiungere 1.500 istituti. Si è appena chiuso l’avvis</w:t>
      </w:r>
      <w:r>
        <w:t xml:space="preserve">o per la realizzazione o il completamento dell’infrastruttura e dei punti di accesso alla rete LAN/WLAN (il cosiddetto bando </w:t>
      </w:r>
      <w:proofErr w:type="spellStart"/>
      <w:r>
        <w:t>Wi-fi</w:t>
      </w:r>
      <w:proofErr w:type="spellEnd"/>
      <w:r>
        <w:t>) con un investimento complessivo di circa 90 milioni di euro</w:t>
      </w:r>
      <w:r>
        <w:t xml:space="preserve">. </w:t>
      </w:r>
      <w:r>
        <w:rPr>
          <w:b/>
        </w:rPr>
        <w:t>Hanno risposto 6.109 scuole</w:t>
      </w:r>
      <w:r>
        <w:t xml:space="preserve"> per una richiesta complessiva di 88.515.922 euro, di cui l’85% è per la realizzazione della rete LAN/WLAN e il 15% per il completamento o l’ampliamento della stessa già esistente. </w:t>
      </w:r>
      <w:r>
        <w:t>Ogni scuola avrà a disposizione dai 7.500 euro (in caso di completamento) ai 18.500 euro (in caso di nuova realizzazione) per il cablaggio interno del proprio edificio.</w:t>
      </w:r>
    </w:p>
    <w:p w:rsidR="00A46057" w:rsidRDefault="00422659">
      <w:pPr>
        <w:pStyle w:val="Titolo3"/>
        <w:ind w:left="-5"/>
      </w:pPr>
      <w:r>
        <w:t>3. CANONE DI CONNETTIVITA’</w:t>
      </w:r>
    </w:p>
    <w:p w:rsidR="00A46057" w:rsidRDefault="00422659">
      <w:pPr>
        <w:ind w:left="-5" w:right="15"/>
      </w:pPr>
      <w:r>
        <w:rPr>
          <w:b/>
        </w:rPr>
        <w:t>Risorse:</w:t>
      </w:r>
      <w:r>
        <w:t xml:space="preserve"> 10 milioni di euro all’anno a decorrere da marzo 20</w:t>
      </w:r>
      <w:r>
        <w:t>16</w:t>
      </w:r>
    </w:p>
    <w:p w:rsidR="00A46057" w:rsidRDefault="00422659">
      <w:pPr>
        <w:ind w:left="-5" w:right="15"/>
      </w:pPr>
      <w:r>
        <w:rPr>
          <w:b/>
        </w:rPr>
        <w:t>Tempi:</w:t>
      </w:r>
      <w:r>
        <w:t xml:space="preserve"> dal 2016 </w:t>
      </w:r>
    </w:p>
    <w:p w:rsidR="00A46057" w:rsidRDefault="00422659">
      <w:pPr>
        <w:spacing w:after="319"/>
        <w:ind w:left="-5" w:right="15"/>
      </w:pPr>
      <w:r>
        <w:rPr>
          <w:b/>
        </w:rPr>
        <w:t>Obiettivi:</w:t>
      </w:r>
      <w:r>
        <w:t xml:space="preserve"> Il </w:t>
      </w:r>
      <w:proofErr w:type="spellStart"/>
      <w:r>
        <w:t>Miur</w:t>
      </w:r>
      <w:proofErr w:type="spellEnd"/>
      <w:r>
        <w:t xml:space="preserve"> vuole riconoscere alle scuole un contributo di 10 milioni di euro in più all’anno (per una media di 1.200 euro a scuola) a partire dal 2016, specificamente dedicato al canone per la connessione a Internet, con l’obiet</w:t>
      </w:r>
      <w:r>
        <w:t>tivo di potenziare le connessioni esistenti e mettere le scuole in grado di abilitare l’attività didattica attraverso le tecnologie digitali. Il contributo è destinato a servizi di connettività di base, e a servizi di connettività evoluta.</w:t>
      </w:r>
    </w:p>
    <w:p w:rsidR="00A46057" w:rsidRDefault="00422659">
      <w:pPr>
        <w:pStyle w:val="Titolo2"/>
        <w:ind w:left="-5"/>
      </w:pPr>
      <w:r>
        <w:t>Rivoluzionare lo</w:t>
      </w:r>
      <w:r>
        <w:t xml:space="preserve"> spazio: ambienti virtuali, nuovi laboratori e la possibilità di portare il proprio </w:t>
      </w:r>
      <w:proofErr w:type="spellStart"/>
      <w:r>
        <w:t>tablet</w:t>
      </w:r>
      <w:proofErr w:type="spellEnd"/>
      <w:r>
        <w:t xml:space="preserve"> a scuola</w:t>
      </w:r>
    </w:p>
    <w:p w:rsidR="00A46057" w:rsidRDefault="00422659">
      <w:pPr>
        <w:pStyle w:val="Titolo3"/>
        <w:ind w:left="-5"/>
      </w:pPr>
      <w:r>
        <w:t>4.  AMBIENTI PER LA DIDATTICA DIGITALE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140 milioni di euro 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 xml:space="preserve">da </w:t>
      </w:r>
      <w:proofErr w:type="gramStart"/>
      <w:r>
        <w:t>Novembre</w:t>
      </w:r>
      <w:proofErr w:type="gramEnd"/>
      <w:r>
        <w:t xml:space="preserve"> 2</w:t>
      </w:r>
      <w:r>
        <w:t>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L’intento di questa azione è mettere al centro la didattica laboratoriale, come punto d’incontro tra sapere e saper fare. Al centro di questa visione è l’innovazione degli ambienti di apprendimento. Questo significa che l’aula deve diventare</w:t>
      </w:r>
      <w:r>
        <w:t xml:space="preserve"> un “luogo abilitante e aperto”, dotata di ambienti flessibili pienamente adeguati all’uso del digitale. Questo significa: aule “aumentate”, cioè con postazioni per la fruizione individuale e collettiva del web e dei contenuti; spazi alternativi per l’appr</w:t>
      </w:r>
      <w:r>
        <w:t>endimento, cioè aule più grandi, in grado di accogliere più classi, o gruppi-classe in plenaria; laboratori mobili, ovvero dispositivi in carrelli e box mobili a disposizione di tutta la scuola.</w:t>
      </w:r>
    </w:p>
    <w:p w:rsidR="00A46057" w:rsidRDefault="00422659">
      <w:pPr>
        <w:pStyle w:val="Titolo3"/>
        <w:ind w:left="-5"/>
      </w:pPr>
      <w:r>
        <w:t>5. CHALLENGE PRIZE PER LA SCUOLA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2 milioni di euro (</w:t>
      </w:r>
      <w:r>
        <w:t>fondi ricerca) + 0,2 milioni di euro (fondi della Buona scuola)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dicembre 2015 a dicembre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I “Challenge </w:t>
      </w:r>
      <w:proofErr w:type="spellStart"/>
      <w:r>
        <w:t>Prizes</w:t>
      </w:r>
      <w:proofErr w:type="spellEnd"/>
      <w:r>
        <w:t xml:space="preserve">” sono sfide con premi in denaro per chi riesce rispondere a un problema (la sfida) in maniera </w:t>
      </w:r>
      <w:proofErr w:type="spellStart"/>
      <w:r>
        <w:t>particolarment</w:t>
      </w:r>
      <w:proofErr w:type="spellEnd"/>
      <w:r>
        <w:t xml:space="preserve"> innovativa. Un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si sviluppa secondo diverse fasi. Si definisce una sfida </w:t>
      </w:r>
      <w:hyperlink r:id="rId6">
        <w:r>
          <w:t xml:space="preserve">tecnologica o sociale, e si mette in palio un premio per la realizzazione di una soluzione. </w:t>
        </w:r>
      </w:hyperlink>
      <w:r w:rsidR="00426D98">
        <w:t xml:space="preserve"> </w:t>
      </w:r>
    </w:p>
    <w:p w:rsidR="00A46057" w:rsidRDefault="00422659">
      <w:pPr>
        <w:pStyle w:val="Titolo3"/>
        <w:ind w:left="-5"/>
      </w:pPr>
      <w:r>
        <w:lastRenderedPageBreak/>
        <w:t>6. POLITICHE ATTIVE DI BYOD (BRING YOUR OWN DEVICE)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Risorse dal punto 4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dicembre 2015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A partire da dicembre 2015, si attueranno politiche per aprire le scuole al cosiddetto </w:t>
      </w:r>
      <w:r>
        <w:rPr>
          <w:b/>
        </w:rPr>
        <w:t>BYOD (</w:t>
      </w:r>
      <w:proofErr w:type="spellStart"/>
      <w:r>
        <w:rPr>
          <w:b/>
        </w:rPr>
        <w:t>Bring</w:t>
      </w:r>
      <w:proofErr w:type="spellEnd"/>
      <w:r>
        <w:rPr>
          <w:b/>
        </w:rPr>
        <w:t xml:space="preserve"> Your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Device)</w:t>
      </w:r>
      <w:r>
        <w:t xml:space="preserve">, cioè l’utilizzo di dispositivi elettronici personali durante le attività didattiche. Il </w:t>
      </w:r>
      <w:proofErr w:type="spellStart"/>
      <w:r>
        <w:t>Miur</w:t>
      </w:r>
      <w:proofErr w:type="spellEnd"/>
      <w:r>
        <w:t xml:space="preserve">, in collaborazione con </w:t>
      </w:r>
      <w:proofErr w:type="spellStart"/>
      <w:r>
        <w:t>Agid</w:t>
      </w:r>
      <w:proofErr w:type="spellEnd"/>
      <w:r>
        <w:t xml:space="preserve"> e il Garante per la Privacy, svilupperà apposite linee guida per promuovere il BYOD identificando i possibili usi mi</w:t>
      </w:r>
      <w:r>
        <w:t>sti dei dispositivi privati nelle attività scolastiche.</w:t>
      </w:r>
    </w:p>
    <w:p w:rsidR="00A46057" w:rsidRDefault="00422659">
      <w:pPr>
        <w:pStyle w:val="Titolo3"/>
        <w:ind w:left="-5"/>
      </w:pPr>
      <w:r>
        <w:t>7. PIANO PER I LABORATORI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45 milioni di euro (</w:t>
      </w:r>
      <w:r>
        <w:rPr>
          <w:b/>
        </w:rPr>
        <w:t>laboratori territoriali</w:t>
      </w:r>
      <w:r>
        <w:t>) + 40 milioni di euro (</w:t>
      </w:r>
      <w:r>
        <w:rPr>
          <w:b/>
        </w:rPr>
        <w:t>atelier creativi</w:t>
      </w:r>
      <w:r>
        <w:t xml:space="preserve"> per le competenze di base del primo ciclo) + 140 milioni di euro (</w:t>
      </w:r>
      <w:r>
        <w:rPr>
          <w:b/>
        </w:rPr>
        <w:t>laboratori professionalizzanti</w:t>
      </w:r>
      <w:r>
        <w:t xml:space="preserve"> in chiave digitale). Risorse dagli avvisi della Programmazione operativa nazionale (</w:t>
      </w:r>
      <w:proofErr w:type="spellStart"/>
      <w:r>
        <w:t>Pon</w:t>
      </w:r>
      <w:proofErr w:type="spellEnd"/>
      <w:r>
        <w:t xml:space="preserve"> “Per la Scuola” 2014-2020) e altri bandi che verranno pubblicati tra ottobre e dicembre 2015 e verranno attuati dal 2016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dal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L’idea è quella di creare laboratori che non siano solo contenitori di tecnologia, ma piuttosto “luoghi di innovazione”: finora le pratiche laboratoriali sono state relegate alle ore extra-scolastiche, mentre a riforma le vuole mettere al centro</w:t>
      </w:r>
      <w:r>
        <w:t xml:space="preserve"> dell’attività didattica curriculare.</w:t>
      </w:r>
    </w:p>
    <w:p w:rsidR="00A46057" w:rsidRDefault="00422659">
      <w:pPr>
        <w:ind w:left="429" w:right="111" w:hanging="23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903" cy="38903"/>
                <wp:effectExtent l="0" t="0" r="0" b="0"/>
                <wp:docPr id="8250" name="Group 8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3" cy="38903"/>
                          <a:chOff x="0" y="0"/>
                          <a:chExt cx="38903" cy="38903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38903" cy="3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3" h="38903">
                                <a:moveTo>
                                  <a:pt x="19452" y="0"/>
                                </a:moveTo>
                                <a:cubicBezTo>
                                  <a:pt x="30194" y="0"/>
                                  <a:pt x="38903" y="8710"/>
                                  <a:pt x="38903" y="19450"/>
                                </a:cubicBezTo>
                                <a:cubicBezTo>
                                  <a:pt x="38903" y="30194"/>
                                  <a:pt x="30194" y="38903"/>
                                  <a:pt x="19452" y="38903"/>
                                </a:cubicBezTo>
                                <a:cubicBezTo>
                                  <a:pt x="8709" y="38903"/>
                                  <a:pt x="0" y="30194"/>
                                  <a:pt x="0" y="19450"/>
                                </a:cubicBezTo>
                                <a:cubicBezTo>
                                  <a:pt x="0" y="8710"/>
                                  <a:pt x="8709" y="0"/>
                                  <a:pt x="19452" y="0"/>
                                </a:cubicBezTo>
                                <a:close/>
                              </a:path>
                            </a:pathLst>
                          </a:custGeom>
                          <a:ln w="9726" cap="sq">
                            <a:miter lim="127000"/>
                          </a:ln>
                        </wps:spPr>
                        <wps:style>
                          <a:lnRef idx="1">
                            <a:srgbClr val="080000"/>
                          </a:lnRef>
                          <a:fillRef idx="1">
                            <a:srgbClr val="0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0" style="width:3.06325pt;height:3.06323pt;mso-position-horizontal-relative:char;mso-position-vertical-relative:line" coordsize="389,389">
                <v:shape id="Shape 268" style="position:absolute;width:389;height:389;left:0;top:0;" coordsize="38903,38903" path="m19452,0c30194,0,38903,8710,38903,19450c38903,30194,30194,38903,19452,38903c8709,38903,0,30194,0,19450c0,8710,8709,0,19452,0x">
                  <v:stroke weight="0.765812pt" endcap="square" joinstyle="miter" miterlimit="10" on="true" color="#080000"/>
                  <v:fill on="true" color="#080000"/>
                </v:shape>
              </v:group>
            </w:pict>
          </mc:Fallback>
        </mc:AlternateContent>
      </w:r>
      <w:r>
        <w:rPr>
          <w:b/>
        </w:rPr>
        <w:t xml:space="preserve"> atelier creativi</w:t>
      </w:r>
      <w:r>
        <w:t xml:space="preserve"> per le scuole del primo ciclo: vengono definiti come “scenari didattici costruiti attorno a robotica ed elettronica educativa, logica e pensiero computazionale, artefatti manuali e digitali, </w:t>
      </w:r>
      <w:proofErr w:type="spellStart"/>
      <w:r>
        <w:t>serious</w:t>
      </w:r>
      <w:proofErr w:type="spellEnd"/>
      <w:r>
        <w:t xml:space="preserve"> </w:t>
      </w:r>
      <w:r>
        <w:t xml:space="preserve">play e </w:t>
      </w:r>
      <w:proofErr w:type="spellStart"/>
      <w:r>
        <w:t>storytelling</w:t>
      </w:r>
      <w:proofErr w:type="spellEnd"/>
      <w:r>
        <w:t>”.</w:t>
      </w:r>
    </w:p>
    <w:p w:rsidR="00A46057" w:rsidRDefault="00422659">
      <w:pPr>
        <w:ind w:left="429" w:right="15" w:hanging="23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903" cy="38903"/>
                <wp:effectExtent l="0" t="0" r="0" b="0"/>
                <wp:docPr id="8251" name="Group 8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3" cy="38903"/>
                          <a:chOff x="0" y="0"/>
                          <a:chExt cx="38903" cy="38903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38903" cy="3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3" h="38903">
                                <a:moveTo>
                                  <a:pt x="19452" y="0"/>
                                </a:moveTo>
                                <a:cubicBezTo>
                                  <a:pt x="30194" y="0"/>
                                  <a:pt x="38903" y="8710"/>
                                  <a:pt x="38903" y="19453"/>
                                </a:cubicBezTo>
                                <a:cubicBezTo>
                                  <a:pt x="38903" y="30194"/>
                                  <a:pt x="30194" y="38903"/>
                                  <a:pt x="19452" y="38903"/>
                                </a:cubicBezTo>
                                <a:cubicBezTo>
                                  <a:pt x="8709" y="38903"/>
                                  <a:pt x="0" y="30194"/>
                                  <a:pt x="0" y="19453"/>
                                </a:cubicBezTo>
                                <a:cubicBezTo>
                                  <a:pt x="0" y="8710"/>
                                  <a:pt x="8709" y="0"/>
                                  <a:pt x="19452" y="0"/>
                                </a:cubicBezTo>
                                <a:close/>
                              </a:path>
                            </a:pathLst>
                          </a:custGeom>
                          <a:ln w="9726" cap="sq">
                            <a:miter lim="127000"/>
                          </a:ln>
                        </wps:spPr>
                        <wps:style>
                          <a:lnRef idx="1">
                            <a:srgbClr val="080000"/>
                          </a:lnRef>
                          <a:fillRef idx="1">
                            <a:srgbClr val="0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1" style="width:3.06325pt;height:3.06323pt;mso-position-horizontal-relative:char;mso-position-vertical-relative:line" coordsize="389,389">
                <v:shape id="Shape 273" style="position:absolute;width:389;height:389;left:0;top:0;" coordsize="38903,38903" path="m19452,0c30194,0,38903,8710,38903,19453c38903,30194,30194,38903,19452,38903c8709,38903,0,30194,0,19453c0,8710,8709,0,19452,0x">
                  <v:stroke weight="0.765812pt" endcap="square" joinstyle="miter" miterlimit="10" on="true" color="#080000"/>
                  <v:fill on="true" color="#080000"/>
                </v:shape>
              </v:group>
            </w:pict>
          </mc:Fallback>
        </mc:AlternateContent>
      </w:r>
      <w:r>
        <w:rPr>
          <w:b/>
        </w:rPr>
        <w:t xml:space="preserve"> Gli istituti superiori verranno “rafforzati” in chiave digitale</w:t>
      </w:r>
      <w:r>
        <w:t xml:space="preserve">. In quest’ottica, un istituto a indirizzo moda potrebbe, ad esempio, aggiornare la propria pratica didattica attraverso la stampa 3D dei modelli; un liceo artistico (o </w:t>
      </w:r>
      <w:r>
        <w:t>classico), potrebbe aggiornare i propri percorsi formativi integrandoli con elementi di creatività digitale e multimediale.</w:t>
      </w:r>
    </w:p>
    <w:p w:rsidR="00A46057" w:rsidRDefault="00422659">
      <w:pPr>
        <w:ind w:left="429" w:right="15" w:hanging="23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903" cy="38903"/>
                <wp:effectExtent l="0" t="0" r="0" b="0"/>
                <wp:docPr id="8252" name="Group 8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3" cy="38903"/>
                          <a:chOff x="0" y="0"/>
                          <a:chExt cx="38903" cy="38903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38903" cy="3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3" h="38903">
                                <a:moveTo>
                                  <a:pt x="19452" y="0"/>
                                </a:moveTo>
                                <a:cubicBezTo>
                                  <a:pt x="30194" y="0"/>
                                  <a:pt x="38903" y="8710"/>
                                  <a:pt x="38903" y="19453"/>
                                </a:cubicBezTo>
                                <a:cubicBezTo>
                                  <a:pt x="38903" y="30194"/>
                                  <a:pt x="30194" y="38903"/>
                                  <a:pt x="19452" y="38903"/>
                                </a:cubicBezTo>
                                <a:cubicBezTo>
                                  <a:pt x="8709" y="38903"/>
                                  <a:pt x="0" y="30194"/>
                                  <a:pt x="0" y="19453"/>
                                </a:cubicBezTo>
                                <a:cubicBezTo>
                                  <a:pt x="0" y="8710"/>
                                  <a:pt x="8709" y="0"/>
                                  <a:pt x="19452" y="0"/>
                                </a:cubicBezTo>
                                <a:close/>
                              </a:path>
                            </a:pathLst>
                          </a:custGeom>
                          <a:ln w="9726" cap="sq">
                            <a:miter lim="127000"/>
                          </a:ln>
                        </wps:spPr>
                        <wps:style>
                          <a:lnRef idx="1">
                            <a:srgbClr val="080000"/>
                          </a:lnRef>
                          <a:fillRef idx="1">
                            <a:srgbClr val="0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2" style="width:3.06325pt;height:3.06323pt;mso-position-horizontal-relative:char;mso-position-vertical-relative:line" coordsize="389,389">
                <v:shape id="Shape 279" style="position:absolute;width:389;height:389;left:0;top:0;" coordsize="38903,38903" path="m19452,0c30194,0,38903,8710,38903,19453c38903,30194,30194,38903,19452,38903c8709,38903,0,30194,0,19453c0,8710,8709,0,19452,0x">
                  <v:stroke weight="0.765812pt" endcap="square" joinstyle="miter" miterlimit="10" on="true" color="#080000"/>
                  <v:fill on="true" color="#080000"/>
                </v:shape>
              </v:group>
            </w:pict>
          </mc:Fallback>
        </mc:AlternateContent>
      </w:r>
      <w:r>
        <w:rPr>
          <w:b/>
        </w:rPr>
        <w:t xml:space="preserve"> Laboratori per i </w:t>
      </w:r>
      <w:proofErr w:type="spellStart"/>
      <w:r>
        <w:rPr>
          <w:b/>
        </w:rPr>
        <w:t>Neet</w:t>
      </w:r>
      <w:proofErr w:type="spellEnd"/>
      <w:r>
        <w:t>, o “laboratori territoriali per l’</w:t>
      </w:r>
      <w:proofErr w:type="spellStart"/>
      <w:r>
        <w:t>occupabilità</w:t>
      </w:r>
      <w:proofErr w:type="spellEnd"/>
      <w:r>
        <w:t>”: spazi a disposizione delle scuole del territorio, dove i ra</w:t>
      </w:r>
      <w:r>
        <w:t>gazzi che non studiano e non lavorano possono realizzare i loro progetti creativi.</w:t>
      </w:r>
    </w:p>
    <w:p w:rsidR="00A46057" w:rsidRDefault="00422659">
      <w:pPr>
        <w:ind w:left="429" w:right="266" w:hanging="23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903" cy="38903"/>
                <wp:effectExtent l="0" t="0" r="0" b="0"/>
                <wp:docPr id="8253" name="Group 8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3" cy="38903"/>
                          <a:chOff x="0" y="0"/>
                          <a:chExt cx="38903" cy="38903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8903" cy="3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3" h="38903">
                                <a:moveTo>
                                  <a:pt x="19452" y="0"/>
                                </a:moveTo>
                                <a:cubicBezTo>
                                  <a:pt x="30194" y="0"/>
                                  <a:pt x="38903" y="8710"/>
                                  <a:pt x="38903" y="19450"/>
                                </a:cubicBezTo>
                                <a:cubicBezTo>
                                  <a:pt x="38903" y="30194"/>
                                  <a:pt x="30194" y="38903"/>
                                  <a:pt x="19452" y="38903"/>
                                </a:cubicBezTo>
                                <a:cubicBezTo>
                                  <a:pt x="8709" y="38903"/>
                                  <a:pt x="0" y="30194"/>
                                  <a:pt x="0" y="19450"/>
                                </a:cubicBezTo>
                                <a:cubicBezTo>
                                  <a:pt x="0" y="8710"/>
                                  <a:pt x="8709" y="0"/>
                                  <a:pt x="19452" y="0"/>
                                </a:cubicBezTo>
                                <a:close/>
                              </a:path>
                            </a:pathLst>
                          </a:custGeom>
                          <a:ln w="9726" cap="sq">
                            <a:miter lim="127000"/>
                          </a:ln>
                        </wps:spPr>
                        <wps:style>
                          <a:lnRef idx="1">
                            <a:srgbClr val="080000"/>
                          </a:lnRef>
                          <a:fillRef idx="1">
                            <a:srgbClr val="0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53" style="width:3.06325pt;height:3.06323pt;mso-position-horizontal-relative:char;mso-position-vertical-relative:line" coordsize="389,389">
                <v:shape id="Shape 283" style="position:absolute;width:389;height:389;left:0;top:0;" coordsize="38903,38903" path="m19452,0c30194,0,38903,8710,38903,19450c38903,30194,30194,38903,19452,38903c8709,38903,0,30194,0,19450c0,8710,8709,0,19452,0x">
                  <v:stroke weight="0.765812pt" endcap="square" joinstyle="miter" miterlimit="10" on="true" color="#080000"/>
                  <v:fill on="true" color="#080000"/>
                </v:shape>
              </v:group>
            </w:pict>
          </mc:Fallback>
        </mc:AlternateContent>
      </w:r>
      <w:r>
        <w:rPr>
          <w:b/>
        </w:rPr>
        <w:t xml:space="preserve"> Laboratori “School-</w:t>
      </w:r>
      <w:proofErr w:type="spellStart"/>
      <w:r>
        <w:rPr>
          <w:b/>
        </w:rPr>
        <w:t>friendly</w:t>
      </w:r>
      <w:proofErr w:type="spellEnd"/>
      <w:r>
        <w:rPr>
          <w:b/>
        </w:rPr>
        <w:t>”</w:t>
      </w:r>
      <w:r>
        <w:t>: mappatura dei laboratori aperti alle scuole o disponibili all’apertura alle scuole presenti nel territorio, presso musei, enti di ricerca, pa</w:t>
      </w:r>
      <w:r>
        <w:t xml:space="preserve">rchi tecnologici, fondazioni, associazioni e altri spazi </w:t>
      </w:r>
      <w:r>
        <w:rPr>
          <w:b/>
        </w:rPr>
        <w:t xml:space="preserve">come ad esempio i </w:t>
      </w:r>
      <w:proofErr w:type="spellStart"/>
      <w:r>
        <w:rPr>
          <w:b/>
        </w:rPr>
        <w:t>Fab</w:t>
      </w:r>
      <w:proofErr w:type="spellEnd"/>
      <w:r>
        <w:rPr>
          <w:b/>
        </w:rPr>
        <w:t xml:space="preserve"> Lab</w:t>
      </w:r>
      <w:r>
        <w:t>. Gli enti locali possono certificare i laboratori sul proprio territorio.</w:t>
      </w:r>
    </w:p>
    <w:p w:rsidR="00A46057" w:rsidRDefault="00422659">
      <w:pPr>
        <w:pStyle w:val="Titolo3"/>
        <w:ind w:left="-5"/>
      </w:pPr>
      <w:r>
        <w:t>7. EDILIZIA SCOLASTICA INNOVATIVA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300 milioni di euro da La Buona Scuola + 30 milioni di e</w:t>
      </w:r>
      <w:r>
        <w:t>uro dalla Programmazione operativa nazionale (</w:t>
      </w:r>
      <w:proofErr w:type="spellStart"/>
      <w:r>
        <w:t>Pon</w:t>
      </w:r>
      <w:proofErr w:type="spellEnd"/>
      <w:r>
        <w:t>)</w:t>
      </w:r>
    </w:p>
    <w:p w:rsidR="00A46057" w:rsidRDefault="00422659">
      <w:pPr>
        <w:ind w:left="-5" w:right="15"/>
      </w:pPr>
      <w:proofErr w:type="gramStart"/>
      <w:r>
        <w:rPr>
          <w:b/>
        </w:rPr>
        <w:t xml:space="preserve">Tempi:  </w:t>
      </w:r>
      <w:r>
        <w:t>periodo</w:t>
      </w:r>
      <w:proofErr w:type="gramEnd"/>
      <w:r>
        <w:t xml:space="preserve"> dal 2015-2017</w:t>
      </w:r>
    </w:p>
    <w:p w:rsidR="00A46057" w:rsidRDefault="00422659">
      <w:pPr>
        <w:spacing w:after="319"/>
        <w:ind w:left="-5" w:right="15"/>
      </w:pPr>
      <w:r>
        <w:rPr>
          <w:b/>
        </w:rPr>
        <w:t xml:space="preserve">Obiettivi: </w:t>
      </w:r>
      <w:r>
        <w:t>Il fondo unico per l’edilizia scolastica per il periodo dal 2015-2017 consentirà da un lato di mettere a norma e in sicurezza gli edifici già esistenti, e dall’altr</w:t>
      </w:r>
      <w:r>
        <w:t>o di costruire nuove scuole innovative dal punto di vista architettonico, tecnologico, dell’efficienza energetica e della sicurezza strutturale e antisismica.</w:t>
      </w:r>
    </w:p>
    <w:p w:rsidR="00A46057" w:rsidRDefault="00422659">
      <w:pPr>
        <w:pStyle w:val="Titolo2"/>
        <w:ind w:left="-5"/>
      </w:pPr>
      <w:r>
        <w:t>Carta d’identità digitale per ogni studente e docente</w:t>
      </w:r>
    </w:p>
    <w:p w:rsidR="00A46057" w:rsidRDefault="00422659">
      <w:pPr>
        <w:pStyle w:val="Titolo3"/>
        <w:ind w:left="-5"/>
      </w:pPr>
      <w:r>
        <w:t>8. SISTEMA DI IDENTIFICAZIONE UNICA (SINGLE</w:t>
      </w:r>
      <w:r>
        <w:t xml:space="preserve"> SING-ON)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Ordinari stanziamenti di bilancio per lo sviluppo del sistema informativo </w:t>
      </w:r>
      <w:proofErr w:type="spellStart"/>
      <w:r>
        <w:t>Miur</w:t>
      </w:r>
      <w:proofErr w:type="spellEnd"/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anno scolastico 2015-2016</w:t>
      </w:r>
    </w:p>
    <w:p w:rsidR="00A46057" w:rsidRDefault="00422659">
      <w:pPr>
        <w:ind w:left="-5" w:right="15"/>
      </w:pPr>
      <w:r>
        <w:rPr>
          <w:b/>
        </w:rPr>
        <w:lastRenderedPageBreak/>
        <w:t xml:space="preserve">Obiettivi: </w:t>
      </w:r>
      <w:r>
        <w:t xml:space="preserve">Effettiva razionalizzazione degli accessi e delle autenticazioni alle piattaforme </w:t>
      </w:r>
      <w:proofErr w:type="spellStart"/>
      <w:r>
        <w:t>Miur</w:t>
      </w:r>
      <w:proofErr w:type="spellEnd"/>
    </w:p>
    <w:p w:rsidR="00A46057" w:rsidRDefault="00422659">
      <w:pPr>
        <w:pStyle w:val="Titolo3"/>
        <w:ind w:left="-5"/>
      </w:pPr>
      <w:r>
        <w:t>9. ID DIGITALE STUDENTE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Ordinari stanziamenti di bilancio per lo sviluppo del sistema informativo </w:t>
      </w:r>
      <w:proofErr w:type="spellStart"/>
      <w:r>
        <w:t>Miur</w:t>
      </w:r>
      <w:proofErr w:type="spellEnd"/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anno scolastico 2015-2016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La Buona scuola prevede che ogni studente abbia una identità digitale. Finora è stata attivata solo la Carta dello Studente </w:t>
      </w:r>
      <w:r>
        <w:t>“</w:t>
      </w:r>
      <w:proofErr w:type="spellStart"/>
      <w:r>
        <w:t>IoStudio</w:t>
      </w:r>
      <w:proofErr w:type="spellEnd"/>
      <w:r>
        <w:t xml:space="preserve">”, una tessera nominativa attestante lo status di studente frequentante con cui il ragazzo può accedere a un’area personale online dove può accedere a servizi e informazioni varie. Sono 2.7 milioni le “Carte dello Studente” attive in circolazione </w:t>
      </w:r>
      <w:r>
        <w:t>(e 8 milioni quelle distribuite negli anni), sulle quali sono state attivate 47 mila convenzioni con partner pubblici e privati. La Carta dello Studente è stata finora attribuita nella forma di tessera nominativa a cui si sono associati un profilo digitale</w:t>
      </w:r>
      <w:r>
        <w:t>, e un borsellino elettronico, opzionale.</w:t>
      </w:r>
    </w:p>
    <w:p w:rsidR="00A46057" w:rsidRDefault="00422659">
      <w:pPr>
        <w:pStyle w:val="Titolo3"/>
        <w:ind w:left="-5"/>
      </w:pPr>
      <w:r>
        <w:t xml:space="preserve">10. ID DIGITALE DOCENTE </w:t>
      </w:r>
    </w:p>
    <w:p w:rsidR="00A46057" w:rsidRDefault="00422659">
      <w:pPr>
        <w:spacing w:after="0" w:line="492" w:lineRule="auto"/>
        <w:ind w:left="-5" w:right="1983"/>
      </w:pPr>
      <w:r>
        <w:rPr>
          <w:b/>
        </w:rPr>
        <w:t xml:space="preserve">Risorse: </w:t>
      </w:r>
      <w:r>
        <w:t xml:space="preserve">Ordinari stanziamenti di bilancio per lo sviluppo del sistema informativo </w:t>
      </w:r>
      <w:proofErr w:type="spellStart"/>
      <w:r>
        <w:t>Miur</w:t>
      </w:r>
      <w:proofErr w:type="spellEnd"/>
      <w:r>
        <w:t xml:space="preserve"> </w:t>
      </w:r>
      <w:r>
        <w:rPr>
          <w:b/>
        </w:rPr>
        <w:t xml:space="preserve">Tempi: </w:t>
      </w:r>
      <w:r>
        <w:t>dal 2016</w:t>
      </w:r>
    </w:p>
    <w:p w:rsidR="00A46057" w:rsidRDefault="00422659">
      <w:pPr>
        <w:spacing w:after="319"/>
        <w:ind w:left="-5" w:right="15"/>
      </w:pPr>
      <w:r>
        <w:rPr>
          <w:b/>
        </w:rPr>
        <w:t xml:space="preserve">Obiettivi: </w:t>
      </w:r>
      <w:r>
        <w:t>La “Carta del Docente” è un profilo personale del docente che conterrà le molteplici informazioni e interazioni amministrative (fascicolo del docente), oltre che quelle relative alla crescita professionale.</w:t>
      </w:r>
    </w:p>
    <w:p w:rsidR="00A46057" w:rsidRDefault="00422659">
      <w:pPr>
        <w:pStyle w:val="Titolo2"/>
        <w:ind w:left="-5"/>
      </w:pPr>
      <w:r>
        <w:t>Digitalizzare la burocrazia: il registro elettron</w:t>
      </w:r>
      <w:r>
        <w:t>ico in tutte le scuole e open data</w:t>
      </w:r>
    </w:p>
    <w:p w:rsidR="00A46057" w:rsidRDefault="00422659">
      <w:pPr>
        <w:pStyle w:val="Titolo3"/>
        <w:ind w:left="-5"/>
      </w:pPr>
      <w:r>
        <w:t>11. DIGITALIZZAZIONE AMMINISTRATIVA DELLA SCUOLA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Finanziamenti dal Piano ICT 2015 e 2016</w:t>
      </w:r>
    </w:p>
    <w:p w:rsidR="00A46057" w:rsidRDefault="00422659">
      <w:pPr>
        <w:ind w:left="-5" w:right="15"/>
      </w:pPr>
      <w:r>
        <w:rPr>
          <w:b/>
        </w:rPr>
        <w:t>Tempi:</w:t>
      </w:r>
      <w:r>
        <w:t xml:space="preserve"> a partire dall’anno scolastico 2015-2016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L’amministrazione digitale della scuola consiste: nella fatturaz</w:t>
      </w:r>
      <w:r>
        <w:t>ione e pagamenti elettronici; nella procedura di dematerializzazione dei contratti del personale (supplenze brevi); nell’estensione alla formazione professionale (delle Regioni interessate) già a partire dall’anno scolastico 2015-2016.</w:t>
      </w:r>
    </w:p>
    <w:p w:rsidR="00A46057" w:rsidRDefault="00422659">
      <w:pPr>
        <w:pStyle w:val="Titolo3"/>
        <w:ind w:left="-5"/>
      </w:pPr>
      <w:r>
        <w:t>12. REGISTRO ELETTRO</w:t>
      </w:r>
      <w:r>
        <w:t>NICO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Circa 48 milioni di euro, per attrezzare le oltre 141 mila aule delle scuole primarie: i bandi fanno parte dei fondi </w:t>
      </w:r>
      <w:proofErr w:type="spellStart"/>
      <w:r>
        <w:t>Pon</w:t>
      </w:r>
      <w:proofErr w:type="spellEnd"/>
      <w:r>
        <w:t xml:space="preserve"> 2014-2020</w:t>
      </w:r>
    </w:p>
    <w:p w:rsidR="00A46057" w:rsidRDefault="00422659">
      <w:pPr>
        <w:pStyle w:val="Titolo3"/>
        <w:ind w:left="-5"/>
      </w:pPr>
      <w:r>
        <w:t xml:space="preserve">Tempi: </w:t>
      </w:r>
      <w:r>
        <w:rPr>
          <w:b w:val="0"/>
        </w:rPr>
        <w:t>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Pur essendo obbligatorio (DL 95/2012), non tutte le scuole lo hanno adottato. L’obiettiv</w:t>
      </w:r>
      <w:r>
        <w:t>o è estenderlo al 100% delle classi.</w:t>
      </w:r>
    </w:p>
    <w:p w:rsidR="00A46057" w:rsidRDefault="00422659">
      <w:pPr>
        <w:pStyle w:val="Titolo3"/>
        <w:ind w:left="-5"/>
      </w:pPr>
      <w:r>
        <w:t>13. STRATEGIA “DATI DELLA SCUOLA”</w:t>
      </w:r>
    </w:p>
    <w:p w:rsidR="00A46057" w:rsidRDefault="00422659">
      <w:pPr>
        <w:spacing w:after="0" w:line="492" w:lineRule="auto"/>
        <w:ind w:left="-5" w:right="15"/>
      </w:pPr>
      <w:r>
        <w:rPr>
          <w:b/>
        </w:rPr>
        <w:t xml:space="preserve">Risorse: </w:t>
      </w:r>
      <w:r>
        <w:t xml:space="preserve">1 milione di euro + 100 mila euro all’anno (Fondi previsti dalla legge 107/2015 per il portale open data) </w:t>
      </w:r>
      <w:r>
        <w:rPr>
          <w:b/>
        </w:rPr>
        <w:t xml:space="preserve">Tempi: </w:t>
      </w:r>
      <w:r>
        <w:t>da settembre 2016</w:t>
      </w:r>
    </w:p>
    <w:p w:rsidR="00A46057" w:rsidRDefault="00422659">
      <w:pPr>
        <w:spacing w:after="319"/>
        <w:ind w:left="-5" w:right="15"/>
      </w:pPr>
      <w:r>
        <w:rPr>
          <w:b/>
        </w:rPr>
        <w:t xml:space="preserve">Obiettivi: </w:t>
      </w:r>
      <w:r>
        <w:t>A partire da settembre 2016 si pro</w:t>
      </w:r>
      <w:r>
        <w:t>cederà con la pubblicazione online dei dati relativi a: i bilanci delle scuole, i dati pubblici afferenti al Sistema nazionale di valutazione, l’Anagrafe dell’edilizia scolastica, i dati in forma aggregata dell’Anagrafe degli studenti, i provvedimenti di i</w:t>
      </w:r>
      <w:r>
        <w:t>ncarico di docenza, i piani dell’offerta formativa, i dati dell’Osservatorio tecnologico, i materiali didattici e le opere autoprodotte dagli istituti scolastici e rilasciati in formato aperto.</w:t>
      </w:r>
    </w:p>
    <w:p w:rsidR="00A46057" w:rsidRDefault="00422659">
      <w:pPr>
        <w:pStyle w:val="Titolo2"/>
        <w:ind w:left="-5"/>
      </w:pPr>
      <w:r>
        <w:lastRenderedPageBreak/>
        <w:t>Passare dalle materie alle competenze</w:t>
      </w:r>
    </w:p>
    <w:p w:rsidR="00A46057" w:rsidRDefault="00422659">
      <w:pPr>
        <w:pStyle w:val="Titolo3"/>
        <w:ind w:left="-5"/>
      </w:pPr>
      <w:r>
        <w:t>14. FRAMEWORK COMUNE PER</w:t>
      </w:r>
      <w:r>
        <w:t xml:space="preserve"> LE COMPETENZE DIGITALI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non previste per la tipologia di intervento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novembre 2015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Il tavolo tecnico per le linee guida sarà avviato a novembre 2015. La definizione delle competenze verrà fatta a partire da esperienze di mappatura</w:t>
      </w:r>
      <w:r>
        <w:t xml:space="preserve"> come il </w:t>
      </w:r>
      <w:proofErr w:type="spellStart"/>
      <w:r>
        <w:t>framework</w:t>
      </w:r>
      <w:proofErr w:type="spellEnd"/>
      <w:r>
        <w:t xml:space="preserve"> Web </w:t>
      </w:r>
      <w:proofErr w:type="spellStart"/>
      <w:r>
        <w:t>Literacy</w:t>
      </w:r>
      <w:proofErr w:type="spellEnd"/>
      <w:r>
        <w:t xml:space="preserve"> curato da </w:t>
      </w:r>
      <w:proofErr w:type="spellStart"/>
      <w:r>
        <w:t>Mozilla</w:t>
      </w:r>
      <w:proofErr w:type="spellEnd"/>
      <w:r>
        <w:t xml:space="preserve"> Foundation e il lavoro effettuato da Media </w:t>
      </w:r>
      <w:proofErr w:type="spellStart"/>
      <w:r>
        <w:t>Smarts</w:t>
      </w:r>
      <w:proofErr w:type="spellEnd"/>
      <w:r>
        <w:t xml:space="preserve"> per il Governo Canadese. Ad ulteriore sostegno per la costruzione di un modello concettuale, esistono </w:t>
      </w:r>
      <w:proofErr w:type="spellStart"/>
      <w:r>
        <w:t>framework</w:t>
      </w:r>
      <w:proofErr w:type="spellEnd"/>
      <w:r>
        <w:t xml:space="preserve"> come DIGICOMP (A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developing</w:t>
      </w:r>
      <w:proofErr w:type="spellEnd"/>
      <w:r>
        <w:t xml:space="preserve"> an</w:t>
      </w:r>
      <w:r>
        <w:t xml:space="preserve">d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in Europe, 2013) che individua una lista di 21 competenze descritte per conoscenze, abilità e atteggiamenti, comprese in 5 aree: Informazione, Comunicazione, Creazione di contenuti, Sicurezza 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. Tali </w:t>
      </w:r>
      <w:proofErr w:type="spellStart"/>
      <w:r>
        <w:t>frame</w:t>
      </w:r>
      <w:r>
        <w:t>work</w:t>
      </w:r>
      <w:proofErr w:type="spellEnd"/>
      <w:r>
        <w:t xml:space="preserve"> sono la cornice che verrà usata per realizzare le linee guida.</w:t>
      </w:r>
    </w:p>
    <w:p w:rsidR="00A46057" w:rsidRDefault="00422659">
      <w:pPr>
        <w:pStyle w:val="Titolo3"/>
        <w:ind w:left="-5"/>
      </w:pPr>
      <w:r>
        <w:t xml:space="preserve">15. SCENARI INNOVATIVI PER LO SVILUPPO DI COMPETENZE DIGITALI APPLICATE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1,5 milioni di euro + fondi </w:t>
      </w:r>
      <w:proofErr w:type="spellStart"/>
      <w:r>
        <w:t>Pon</w:t>
      </w:r>
      <w:proofErr w:type="spellEnd"/>
      <w:r>
        <w:t xml:space="preserve"> 2014-2020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</w:t>
      </w:r>
      <w:r>
        <w:rPr>
          <w:b/>
        </w:rPr>
        <w:t xml:space="preserve"> </w:t>
      </w:r>
      <w:r>
        <w:t>novembre 2015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Quanto alle competenze degli studenti, l’Italia è 25ma in Europa per numero di utenti Internet (59%) e 23ma per competenze digitali di base (47%). Questo divario è visibile anche nel caso delle competenze specialistiche sull’ICT (Italia 17ma) e nel numero </w:t>
      </w:r>
      <w:r>
        <w:t>di laureati in discipline Scientifiche o Tecnologiche (STEM), per cui l’Italia è 22ma, con 13 cittadini ogni 1.000.</w:t>
      </w:r>
    </w:p>
    <w:p w:rsidR="00A46057" w:rsidRDefault="00422659">
      <w:pPr>
        <w:ind w:left="-5" w:right="15"/>
      </w:pPr>
      <w:r>
        <w:t>L’obiettivo di questa azione è creare e certificare</w:t>
      </w:r>
      <w:r>
        <w:rPr>
          <w:b/>
        </w:rPr>
        <w:t xml:space="preserve"> almeno 20 format di percorsi didattici</w:t>
      </w:r>
      <w:r>
        <w:t xml:space="preserve"> a cui i docenti possano attingere e utilizzare in classe. I percorsi saranno su: l’economia digitale; la comunicazione e l’interazione digitale; le dinamiche di generazione, analisi, rappresentazione e riuso dei dati (aperti e grandi); il </w:t>
      </w:r>
      <w:proofErr w:type="spellStart"/>
      <w:r>
        <w:t>making</w:t>
      </w:r>
      <w:proofErr w:type="spellEnd"/>
      <w:r>
        <w:t>, la robot</w:t>
      </w:r>
      <w:r>
        <w:t xml:space="preserve">ica educativa, l’internet delle cose; l’arte digitale, la gestione digitale del cultural </w:t>
      </w:r>
      <w:proofErr w:type="spellStart"/>
      <w:r>
        <w:t>heritage</w:t>
      </w:r>
      <w:proofErr w:type="spellEnd"/>
      <w:r>
        <w:t xml:space="preserve">; la lettura e la scrittura in ambienti digitali e misti, il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storytelling</w:t>
      </w:r>
      <w:proofErr w:type="spellEnd"/>
      <w:r>
        <w:t>, la creatività digitale.</w:t>
      </w:r>
    </w:p>
    <w:p w:rsidR="00A46057" w:rsidRDefault="00422659">
      <w:pPr>
        <w:ind w:left="-5" w:right="15"/>
      </w:pPr>
      <w:r>
        <w:t xml:space="preserve">Esperienze del genere già </w:t>
      </w:r>
      <w:bookmarkStart w:id="0" w:name="_GoBack"/>
      <w:bookmarkEnd w:id="0"/>
      <w:r>
        <w:t>sono state avviate: un ese</w:t>
      </w:r>
      <w:r>
        <w:t xml:space="preserve">mpio è il recente programma di </w:t>
      </w:r>
      <w:r>
        <w:rPr>
          <w:b/>
        </w:rPr>
        <w:t xml:space="preserve">“Generazioni Connesse” </w:t>
      </w:r>
      <w:r>
        <w:t>per un uso consapevole e sicuro dei nuovi media, oppure l’iniziativa</w:t>
      </w:r>
      <w:r>
        <w:t xml:space="preserve"> </w:t>
      </w:r>
      <w:r w:rsidRPr="00422659">
        <w:rPr>
          <w:b/>
          <w:color w:val="auto"/>
        </w:rPr>
        <w:t xml:space="preserve">“A Scuola di </w:t>
      </w:r>
      <w:proofErr w:type="spellStart"/>
      <w:r w:rsidRPr="00422659">
        <w:rPr>
          <w:b/>
          <w:color w:val="auto"/>
        </w:rPr>
        <w:t>OpenCoesion</w:t>
      </w:r>
      <w:r w:rsidRPr="00422659">
        <w:rPr>
          <w:b/>
          <w:color w:val="auto"/>
        </w:rPr>
        <w:t>e</w:t>
      </w:r>
      <w:proofErr w:type="spellEnd"/>
      <w:r>
        <w:rPr>
          <w:b/>
          <w:color w:val="026AD9"/>
        </w:rPr>
        <w:t>”</w:t>
      </w:r>
      <w:r>
        <w:t>,</w:t>
      </w:r>
      <w:r>
        <w:t xml:space="preserve"> in cui gli studenti sono chiamati a competere attraverso un progetto di monitoraggio civico e data-</w:t>
      </w:r>
      <w:proofErr w:type="spellStart"/>
      <w:r>
        <w:t>journalism</w:t>
      </w:r>
      <w:proofErr w:type="spellEnd"/>
      <w:r>
        <w:t>.</w:t>
      </w:r>
    </w:p>
    <w:p w:rsidR="00A46057" w:rsidRDefault="00422659">
      <w:pPr>
        <w:pStyle w:val="Titolo3"/>
        <w:ind w:left="-5"/>
      </w:pPr>
      <w:r>
        <w:t>16. UNA RESEARCH UNIT PER LE COMPETENZE DEL 21MO SECOLO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in corso di valutazione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gennaio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Il programma è chi</w:t>
      </w:r>
      <w:r>
        <w:t>edere la collaborazione di ricercatori ed esperti, per la costruzione di progetti di ricerca, anche nell’ottica di valorizzare iniziative già esistenti, per diffondere le competenze del 21esimo secolo</w:t>
      </w:r>
      <w:r>
        <w:t>. Si t</w:t>
      </w:r>
      <w:r>
        <w:t xml:space="preserve">ratta soprattutto di competenze trasversali e della capacità di muoversi nell’ambiente digitale: alfabetizzazione informativa e digitale (information </w:t>
      </w:r>
      <w:proofErr w:type="spellStart"/>
      <w:r>
        <w:t>literacy</w:t>
      </w:r>
      <w:proofErr w:type="spellEnd"/>
      <w:r>
        <w:t xml:space="preserve"> 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). Per competenze trasversali si intendono: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il pensiero latera</w:t>
      </w:r>
      <w:r>
        <w:t>le e la capacità di apprendere.</w:t>
      </w:r>
    </w:p>
    <w:p w:rsidR="00A46057" w:rsidRDefault="00422659">
      <w:pPr>
        <w:pStyle w:val="Titolo3"/>
        <w:ind w:left="-5"/>
      </w:pPr>
      <w:r>
        <w:t xml:space="preserve">17. PORTARE IL PENSIERO COMPUTAZIONALE NELLA SCUOLA PRIMARIA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fondi compresi nel punto 15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in corso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Già da un anno è attiva l’iniziativa congiunta </w:t>
      </w:r>
      <w:proofErr w:type="spellStart"/>
      <w:r>
        <w:t>Miur</w:t>
      </w:r>
      <w:proofErr w:type="spellEnd"/>
      <w:r>
        <w:t xml:space="preserve">-Cini </w:t>
      </w:r>
      <w:r>
        <w:rPr>
          <w:b/>
        </w:rPr>
        <w:t>“Programma il Futuro”</w:t>
      </w:r>
      <w:r>
        <w:t>, per l’introduzione</w:t>
      </w:r>
      <w:r>
        <w:t xml:space="preserve"> del pensiero computazionale nella scuola. Nell’anno scolastico 2014-2015, il progetto ha coinvolto oltre 305 mila studenti in 16 mila classi e oltre 2 mila scuole </w:t>
      </w:r>
    </w:p>
    <w:p w:rsidR="00A46057" w:rsidRDefault="00422659">
      <w:pPr>
        <w:pStyle w:val="Titolo3"/>
        <w:ind w:left="-5"/>
      </w:pPr>
      <w:r>
        <w:lastRenderedPageBreak/>
        <w:t>18. AGGIORNARE IL CURRICOLO DI TECNOLOGIA NELLA SCUOLA SECONDARIA DI PRIMO GRADO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fondi compresi nel punto 15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novembre 2015</w:t>
      </w:r>
    </w:p>
    <w:p w:rsidR="00A46057" w:rsidRDefault="00422659">
      <w:pPr>
        <w:spacing w:after="319"/>
        <w:ind w:left="-5" w:right="15"/>
      </w:pPr>
      <w:r>
        <w:rPr>
          <w:b/>
        </w:rPr>
        <w:t xml:space="preserve">Obiettivi: </w:t>
      </w:r>
      <w:r>
        <w:t>L’insegnamento di Tecnologia nelle scuole medie deve essere aggiornato per includere nel curricolo le tecniche e applicazioni digitali.</w:t>
      </w:r>
    </w:p>
    <w:p w:rsidR="00A46057" w:rsidRDefault="00422659">
      <w:pPr>
        <w:pStyle w:val="Titolo2"/>
        <w:ind w:left="-5"/>
      </w:pPr>
      <w:r>
        <w:t xml:space="preserve">Diffondere l’imprenditorialità, colmare il divario di genere nei settori </w:t>
      </w:r>
      <w:proofErr w:type="spellStart"/>
      <w:r>
        <w:t>tech</w:t>
      </w:r>
      <w:proofErr w:type="spellEnd"/>
      <w:r>
        <w:t xml:space="preserve"> e promuovere le carriere digit</w:t>
      </w:r>
      <w:r>
        <w:t>ali</w:t>
      </w:r>
    </w:p>
    <w:p w:rsidR="00A46057" w:rsidRDefault="00422659">
      <w:pPr>
        <w:pStyle w:val="Titolo3"/>
        <w:ind w:left="-5"/>
      </w:pPr>
      <w:r>
        <w:t xml:space="preserve">19. UN CURRICOLO PER L’IMPRENDITORIALITÀ’ (DIGITALE) </w:t>
      </w:r>
    </w:p>
    <w:p w:rsidR="00A46057" w:rsidRDefault="00422659">
      <w:pPr>
        <w:spacing w:after="0" w:line="492" w:lineRule="auto"/>
        <w:ind w:left="-5" w:right="637"/>
      </w:pPr>
      <w:r>
        <w:rPr>
          <w:b/>
        </w:rPr>
        <w:t xml:space="preserve">Risorse: </w:t>
      </w:r>
      <w:r>
        <w:t xml:space="preserve">3 milioni di euro (fondi PNSD + fondi </w:t>
      </w:r>
      <w:proofErr w:type="spellStart"/>
      <w:r>
        <w:t>Pon</w:t>
      </w:r>
      <w:proofErr w:type="spellEnd"/>
      <w:r>
        <w:t xml:space="preserve"> 2014-2020 + stanziamenti ordinari del Ministero) </w:t>
      </w:r>
      <w:r>
        <w:rPr>
          <w:b/>
        </w:rPr>
        <w:t xml:space="preserve">Tempi: </w:t>
      </w:r>
      <w:r>
        <w:t>da gennaio 2016</w:t>
      </w:r>
    </w:p>
    <w:p w:rsidR="00A46057" w:rsidRDefault="00422659">
      <w:pPr>
        <w:spacing w:after="0"/>
        <w:ind w:left="-5" w:right="15"/>
      </w:pPr>
      <w:r>
        <w:rPr>
          <w:b/>
        </w:rPr>
        <w:t xml:space="preserve">Obiettivi: </w:t>
      </w:r>
      <w:r>
        <w:t>In ogni scuola verranno creati curricoli brevi per praticare l’i</w:t>
      </w:r>
      <w:r>
        <w:t>mprenditorialità tra i banchi, sviluppati in collaborazione con imprese vere. Inoltre verranno promosse su base nazionale le “olimpiadi</w:t>
      </w:r>
    </w:p>
    <w:p w:rsidR="00A46057" w:rsidRDefault="00422659">
      <w:pPr>
        <w:ind w:left="-5" w:right="15"/>
      </w:pPr>
      <w:r>
        <w:t>dell’imprenditorialità”. Ispirate ad esperienze già condotte dal Ministero, come ad esempio l</w:t>
      </w:r>
      <w:r>
        <w:rPr>
          <w:b/>
        </w:rPr>
        <w:t>’H-</w:t>
      </w:r>
      <w:proofErr w:type="spellStart"/>
      <w:r>
        <w:rPr>
          <w:b/>
        </w:rPr>
        <w:t>ack</w:t>
      </w:r>
      <w:proofErr w:type="spellEnd"/>
      <w:r>
        <w:rPr>
          <w:b/>
        </w:rPr>
        <w:t xml:space="preserve"> School</w:t>
      </w:r>
      <w:r>
        <w:t xml:space="preserve">, il primo </w:t>
      </w:r>
      <w:proofErr w:type="spellStart"/>
      <w:r>
        <w:t>hac</w:t>
      </w:r>
      <w:r>
        <w:t>kathon</w:t>
      </w:r>
      <w:proofErr w:type="spellEnd"/>
      <w:r>
        <w:t xml:space="preserve"> completamente dedicato al mondo della scuola </w:t>
      </w:r>
    </w:p>
    <w:p w:rsidR="00A46057" w:rsidRDefault="00422659">
      <w:pPr>
        <w:ind w:left="-5" w:right="15"/>
      </w:pPr>
      <w:r>
        <w:t xml:space="preserve">Il Ministero ha già condotto sperimentazioni per </w:t>
      </w:r>
      <w:r>
        <w:t xml:space="preserve">promuovere l’imprenditorialità tra gli studenti: è il caso dei </w:t>
      </w:r>
      <w:proofErr w:type="spellStart"/>
      <w:r>
        <w:rPr>
          <w:b/>
        </w:rPr>
        <w:t>Contamination</w:t>
      </w:r>
      <w:proofErr w:type="spellEnd"/>
      <w:r>
        <w:rPr>
          <w:b/>
        </w:rPr>
        <w:t xml:space="preserve"> Lab</w:t>
      </w:r>
      <w:r>
        <w:t xml:space="preserve">, creati in seguito allo stanziamento di un milione di euro con il Decreto Direttoriale n. 436 del 13 marzo 2013 </w:t>
      </w:r>
    </w:p>
    <w:p w:rsidR="00A46057" w:rsidRDefault="00422659">
      <w:pPr>
        <w:pStyle w:val="Titolo3"/>
        <w:ind w:left="-5"/>
      </w:pPr>
      <w:r>
        <w:t xml:space="preserve">20. GIRLS IN TECH &amp; SCIENCE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risorse dal </w:t>
      </w:r>
      <w:proofErr w:type="spellStart"/>
      <w:r>
        <w:t>Pon</w:t>
      </w:r>
      <w:proofErr w:type="spellEnd"/>
      <w:r>
        <w:t xml:space="preserve"> 2014-2020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anno scolastico 2015-2016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Azioni specifiche per colmare il “divario di consapevolezza” tra ragazzi e ragazze sulle proprie possibilità in ambito scientifico-tecnologico.</w:t>
      </w:r>
    </w:p>
    <w:p w:rsidR="00A46057" w:rsidRDefault="00422659">
      <w:pPr>
        <w:pStyle w:val="Titolo3"/>
        <w:ind w:left="-5"/>
      </w:pPr>
      <w:r>
        <w:t xml:space="preserve">21. PIANO CARRIERE DIGITALI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risorse dal </w:t>
      </w:r>
      <w:proofErr w:type="spellStart"/>
      <w:r>
        <w:t>Pon</w:t>
      </w:r>
      <w:proofErr w:type="spellEnd"/>
      <w:r>
        <w:t xml:space="preserve"> 2014-2020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dal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Politiche per avvicin</w:t>
      </w:r>
      <w:r>
        <w:t>are gli studenti alle carriere in ambito del digitale, con collaborazioni con gli attori dell’ecosistema dell’innovazione, sul modello americano dell’iniziativa “</w:t>
      </w:r>
      <w:proofErr w:type="spellStart"/>
      <w:r>
        <w:t>Tech</w:t>
      </w:r>
      <w:proofErr w:type="spellEnd"/>
      <w:r>
        <w:t xml:space="preserve"> </w:t>
      </w:r>
      <w:proofErr w:type="spellStart"/>
      <w:r>
        <w:t>Hire</w:t>
      </w:r>
      <w:proofErr w:type="spellEnd"/>
      <w:r>
        <w:t>”.</w:t>
      </w:r>
    </w:p>
    <w:p w:rsidR="00A46057" w:rsidRDefault="00422659">
      <w:pPr>
        <w:pStyle w:val="Titolo2"/>
        <w:ind w:left="-5"/>
      </w:pPr>
      <w:r>
        <w:t xml:space="preserve">Portare la scuola fuori dalle aule: alternanza scuola-lavoro e collaborazioni con </w:t>
      </w:r>
      <w:r>
        <w:t>le aziende</w:t>
      </w:r>
    </w:p>
    <w:p w:rsidR="00A46057" w:rsidRDefault="00422659">
      <w:pPr>
        <w:pStyle w:val="Titolo3"/>
        <w:ind w:left="-5"/>
      </w:pPr>
      <w:r>
        <w:t>22. STANDARD MINIMI E INTEROPERABILITA’ DEGLI AMBIENTI ONLINE PER LA DIDATTICA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non necessarie per la tipologia di strumento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dicembre 2015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A partire da dicembre 2015 è previsto l’insediamento di un tavolo tecnico in </w:t>
      </w:r>
      <w:r>
        <w:t xml:space="preserve">collaborazione con </w:t>
      </w:r>
      <w:proofErr w:type="spellStart"/>
      <w:r>
        <w:t>Agid</w:t>
      </w:r>
      <w:proofErr w:type="spellEnd"/>
      <w:r>
        <w:t xml:space="preserve"> per la definizione di linee guida per l’utilizzo delle piattaforme tecnologiche in ambito didattico. I requisiti minimi sono tesi ad evitare discriminazioni di ogni genere e in particolare quelle dovute a diversa disponibilità econo</w:t>
      </w:r>
      <w:r>
        <w:t>mica da parte delle famiglie, o di particolari bisogni educativi degli studenti (BES e individui diversamente abili).</w:t>
      </w:r>
    </w:p>
    <w:p w:rsidR="00A46057" w:rsidRDefault="00422659">
      <w:pPr>
        <w:pStyle w:val="Titolo3"/>
        <w:ind w:left="-5"/>
      </w:pPr>
      <w:r>
        <w:lastRenderedPageBreak/>
        <w:t xml:space="preserve">23. PROMOZIONE DELLE RISORSE EDUCATIVE APERTE (OER) E LINEE GUIDA SU AUTOPRODUZIONE DEI CONTENUTI DIDATTICI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 xml:space="preserve">non previste per la </w:t>
      </w:r>
      <w:r>
        <w:t>tipologia di strumento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dicembre 2015 a marzo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Da dicembre 2015 a marzo 2016 sarà strutturato un tavolo di confronto per definire una guida che distingua le varie tipologie di risorse digitali disponibili, i criteri e le possibili form</w:t>
      </w:r>
      <w:r>
        <w:t>e del loro uso, in particolare per quanto riguarda l’autoproduzione di contenuti.</w:t>
      </w:r>
    </w:p>
    <w:p w:rsidR="00A46057" w:rsidRDefault="00422659">
      <w:pPr>
        <w:pStyle w:val="Titolo3"/>
        <w:ind w:left="-5"/>
      </w:pPr>
      <w:r>
        <w:t xml:space="preserve">24. BIBLIOTECHE SCOLASTICHE COME AMBIENTI DI ALFABETIZZAZIONE ALL’USO DELLE RISORSE INFORMATIVE DIGITALI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1,5 milioni di euro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febbrai 2016</w:t>
      </w:r>
    </w:p>
    <w:p w:rsidR="00A46057" w:rsidRDefault="00422659">
      <w:pPr>
        <w:spacing w:after="319"/>
        <w:ind w:left="-5" w:right="15"/>
      </w:pPr>
      <w:r>
        <w:rPr>
          <w:b/>
        </w:rPr>
        <w:t xml:space="preserve">Obiettivi: </w:t>
      </w:r>
      <w:r>
        <w:t>A par</w:t>
      </w:r>
      <w:r>
        <w:t xml:space="preserve">tire da febbraio 2016 ci sarà un’azione di riqualificazione degli ambienti di apprendimento e un potenziamento della missione delle biblioteche scolastiche. Al liceo il 35% usa per la maggior parte del tempo il libro </w:t>
      </w:r>
      <w:proofErr w:type="gramStart"/>
      <w:r>
        <w:t>cartaceo,  il</w:t>
      </w:r>
      <w:proofErr w:type="gramEnd"/>
      <w:r>
        <w:t xml:space="preserve"> 63,9% lo integra con il l</w:t>
      </w:r>
      <w:r>
        <w:t>ibro digitale. Solo l’1,1% utilizza esclusivamente materiali digitali.</w:t>
      </w:r>
    </w:p>
    <w:p w:rsidR="00A46057" w:rsidRDefault="00422659">
      <w:pPr>
        <w:pStyle w:val="Titolo2"/>
        <w:ind w:left="-5"/>
      </w:pPr>
      <w:r>
        <w:t>Formare i docenti (e mandarli a studiare all’estero)</w:t>
      </w:r>
    </w:p>
    <w:p w:rsidR="00A46057" w:rsidRDefault="00422659">
      <w:pPr>
        <w:pStyle w:val="Titolo3"/>
        <w:ind w:left="-5"/>
      </w:pPr>
      <w:r>
        <w:t>25. FORMAZIONE IN SERVIZIO PER L’INNOVAZIONE DIDATTICA E ORGANIZZATIVA</w:t>
      </w:r>
    </w:p>
    <w:p w:rsidR="00A46057" w:rsidRDefault="00422659">
      <w:pPr>
        <w:spacing w:after="0"/>
        <w:ind w:left="-5" w:right="15"/>
      </w:pPr>
      <w:proofErr w:type="gramStart"/>
      <w:r>
        <w:rPr>
          <w:b/>
        </w:rPr>
        <w:t xml:space="preserve">Risorse: </w:t>
      </w:r>
      <w:r>
        <w:t xml:space="preserve"> 10</w:t>
      </w:r>
      <w:proofErr w:type="gramEnd"/>
      <w:r>
        <w:t xml:space="preserve"> milioni di euro all’anno (a valere su risorse Fo</w:t>
      </w:r>
      <w:r>
        <w:t xml:space="preserve">rmazione della legge 107/2015 + risorse </w:t>
      </w:r>
      <w:proofErr w:type="spellStart"/>
      <w:r>
        <w:t>Pon-Fse</w:t>
      </w:r>
      <w:proofErr w:type="spellEnd"/>
      <w:r>
        <w:t xml:space="preserve"> +</w:t>
      </w:r>
    </w:p>
    <w:p w:rsidR="00A46057" w:rsidRDefault="00422659">
      <w:pPr>
        <w:ind w:left="-5" w:right="15"/>
      </w:pPr>
      <w:r>
        <w:t>“Per la Scuola” 2014- 2020 + stanziamenti ordinari del ministero)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dicembre 2015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La Buona Scuola ha introdotto per la prima volta la formazione obbligatoria in servizio per il personale docente. La formazione è rivolta a docenti, dirigenti scolastici e direttore dei servizi generali. </w:t>
      </w:r>
      <w:proofErr w:type="gramStart"/>
      <w:r>
        <w:t>E’</w:t>
      </w:r>
      <w:proofErr w:type="gramEnd"/>
      <w:r>
        <w:t xml:space="preserve"> previsto lo sviluppo di una rete di almeno 300 “s</w:t>
      </w:r>
      <w:r>
        <w:t>nodi formativi” (le sedi dove avverrà la formazione) che dovranno assicurare la copertura territoriale.</w:t>
      </w:r>
    </w:p>
    <w:p w:rsidR="00A46057" w:rsidRDefault="00422659">
      <w:pPr>
        <w:ind w:left="-5" w:right="15"/>
      </w:pPr>
      <w:r>
        <w:t>I dati dell’indagine OCSE TALIS 2013 vedono l’Italia al primo posto per necessità di formazione ICT dei propri docenti: almeno il 36% ha infatti dichiar</w:t>
      </w:r>
      <w:r>
        <w:t xml:space="preserve">ato di non essere sufficientemente preparato per la didattica digitale, a fronte di una media del 17%. L’Italia è inoltre il primo Paese dell’OCSE, con distanza rispetto agli altri, per percentuale di docenti oltre i 50 anni – il 62%, rispetto a una media </w:t>
      </w:r>
      <w:r>
        <w:t xml:space="preserve">OCSE del 35% nella scuola secondaria (Fonte: OECD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glance</w:t>
      </w:r>
      <w:proofErr w:type="spellEnd"/>
      <w:r>
        <w:t>, 2014).</w:t>
      </w:r>
    </w:p>
    <w:p w:rsidR="00A46057" w:rsidRDefault="00422659">
      <w:pPr>
        <w:spacing w:after="238" w:line="259" w:lineRule="auto"/>
        <w:ind w:left="-5" w:right="0"/>
      </w:pPr>
      <w:r>
        <w:t xml:space="preserve">Dall’estate 2016 è previsto per 1.000 docenti </w:t>
      </w:r>
      <w:r>
        <w:rPr>
          <w:b/>
        </w:rPr>
        <w:t>con forte propensione all’innovazione e alla cultura digitale un’esperienza di formazione digitale all’estero</w:t>
      </w:r>
      <w:r>
        <w:t xml:space="preserve"> presso i migliori centri e università del mondo.</w:t>
      </w:r>
    </w:p>
    <w:p w:rsidR="00A46057" w:rsidRDefault="00422659">
      <w:pPr>
        <w:pStyle w:val="Titolo3"/>
        <w:ind w:left="-5"/>
      </w:pPr>
      <w:r>
        <w:t xml:space="preserve">26. ASSISTENZA TECNICA PER LE SCUOLE DEL PRIMO CICLO </w:t>
      </w:r>
    </w:p>
    <w:p w:rsidR="00A46057" w:rsidRDefault="00422659">
      <w:pPr>
        <w:spacing w:after="0" w:line="492" w:lineRule="auto"/>
        <w:ind w:left="-5" w:right="15"/>
      </w:pPr>
      <w:r>
        <w:rPr>
          <w:b/>
        </w:rPr>
        <w:t xml:space="preserve">Risorse: </w:t>
      </w:r>
      <w:r>
        <w:t xml:space="preserve">5,7 milioni di euro all’anno (1.000 euro per ognuna delle 5709 istituzioni scolastiche di primo ciclo) </w:t>
      </w:r>
      <w:r>
        <w:rPr>
          <w:b/>
        </w:rPr>
        <w:t xml:space="preserve">Tempi: </w:t>
      </w:r>
      <w:r>
        <w:t>marzo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>Da marzo 20</w:t>
      </w:r>
      <w:r>
        <w:t>16 il Ministero finanzierà la creazione di “Presìdi di Pronto Soccorso Tecnico”, formati tra scuole del primo ciclo e scuole secondarie, con lo scopo di gestire piccoli interventi di assistenza tecnica per le scuole. A ciascuna delle 5709 istituzioni scola</w:t>
      </w:r>
      <w:r>
        <w:t>stiche primarie sarà erogata una quota di 1.000 euro. Tale quota potrà essere utilizzata dalle scuole, individualmente o in rete, per coprire parte dei costi di assistenza tecnica.</w:t>
      </w:r>
    </w:p>
    <w:p w:rsidR="00A46057" w:rsidRDefault="00422659">
      <w:pPr>
        <w:pStyle w:val="Titolo3"/>
        <w:ind w:left="-5"/>
      </w:pPr>
      <w:r>
        <w:t xml:space="preserve">27. RAFFORZARE LA FORMAZIONE INIZIALE SULL’INNOVAZIONE DIDATTICA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non necessarie per l’attività di indirizzo</w:t>
      </w:r>
    </w:p>
    <w:p w:rsidR="00A46057" w:rsidRDefault="00422659">
      <w:pPr>
        <w:ind w:left="-5" w:right="15"/>
      </w:pPr>
      <w:r>
        <w:rPr>
          <w:b/>
        </w:rPr>
        <w:lastRenderedPageBreak/>
        <w:t xml:space="preserve">Tempi: </w:t>
      </w:r>
      <w:r>
        <w:t>da novembre 2015</w:t>
      </w:r>
    </w:p>
    <w:p w:rsidR="00A46057" w:rsidRDefault="00422659">
      <w:pPr>
        <w:spacing w:after="319"/>
        <w:ind w:left="-5" w:right="15"/>
      </w:pPr>
      <w:r>
        <w:rPr>
          <w:b/>
        </w:rPr>
        <w:t>Obiettivi:</w:t>
      </w:r>
      <w:r>
        <w:t xml:space="preserve"> Rafforzare le iniziative di formazione per sviluppare soprattutto quelle che sono le “competenze di innovazione e sperimentazione didattica”.</w:t>
      </w:r>
    </w:p>
    <w:p w:rsidR="00A46057" w:rsidRDefault="00422659">
      <w:pPr>
        <w:pStyle w:val="Titolo2"/>
        <w:ind w:left="-5"/>
      </w:pPr>
      <w:r>
        <w:t>Dall’animatore digitale negli istitu</w:t>
      </w:r>
      <w:r>
        <w:t>ti agli ‘azionisti’ della scuola: così verrà attuato (e monitorato) il Piano Nazionale per la Scuola Digitale</w:t>
      </w:r>
    </w:p>
    <w:p w:rsidR="00A46057" w:rsidRDefault="00422659">
      <w:pPr>
        <w:pStyle w:val="Titolo3"/>
        <w:ind w:left="-5"/>
      </w:pPr>
      <w:r>
        <w:t xml:space="preserve">28. UN ANIMATORE DIGITALE IN OGNI SCUOLA </w:t>
      </w:r>
    </w:p>
    <w:p w:rsidR="00A46057" w:rsidRDefault="00422659">
      <w:pPr>
        <w:ind w:left="-5" w:right="15"/>
      </w:pPr>
      <w:r>
        <w:rPr>
          <w:b/>
        </w:rPr>
        <w:t xml:space="preserve">Risorse: </w:t>
      </w:r>
      <w:r>
        <w:t>8,5 milioni di euro all’anno</w:t>
      </w:r>
    </w:p>
    <w:p w:rsidR="00A46057" w:rsidRDefault="00422659">
      <w:pPr>
        <w:ind w:left="-5" w:right="15"/>
      </w:pPr>
      <w:r>
        <w:rPr>
          <w:b/>
        </w:rPr>
        <w:t xml:space="preserve">Tempi: </w:t>
      </w:r>
      <w:r>
        <w:t>da marzo 2016</w:t>
      </w:r>
    </w:p>
    <w:p w:rsidR="00A46057" w:rsidRDefault="00422659">
      <w:pPr>
        <w:ind w:left="-5" w:right="15"/>
      </w:pPr>
      <w:r>
        <w:rPr>
          <w:b/>
        </w:rPr>
        <w:t xml:space="preserve">Obiettivi: </w:t>
      </w:r>
      <w:r>
        <w:t xml:space="preserve">L’animatore digitale è un docente </w:t>
      </w:r>
      <w:r>
        <w:t>che, insieme al dirigente scolastico e al direttore amministrativo, ha un ruolo strategico nella diffusione dell’innovazione a scuola. Ad ogni scuola saranno assegnati 1.000 euro all’anno, che saranno vincolati alle attività dell’animatore nell’ambito dell</w:t>
      </w:r>
      <w:r>
        <w:t>a formazione interna del personale, del coinvolgimento della comunità scolastica e nella creazione di soluzioni innovative.</w:t>
      </w:r>
    </w:p>
    <w:p w:rsidR="00A46057" w:rsidRDefault="00422659">
      <w:pPr>
        <w:spacing w:after="238" w:line="259" w:lineRule="auto"/>
        <w:ind w:left="-5" w:right="0"/>
      </w:pPr>
      <w:r>
        <w:rPr>
          <w:b/>
        </w:rPr>
        <w:t xml:space="preserve">29. ACCORDI TERRITORIALI </w:t>
      </w:r>
    </w:p>
    <w:p w:rsidR="00A46057" w:rsidRDefault="00422659">
      <w:pPr>
        <w:pStyle w:val="Titolo3"/>
        <w:ind w:left="-5"/>
      </w:pPr>
      <w:r>
        <w:t xml:space="preserve">30. STAKEHOLDERS’ CLUB PER LA SCUOLA DIGITALE </w:t>
      </w:r>
    </w:p>
    <w:p w:rsidR="00A46057" w:rsidRDefault="00422659">
      <w:pPr>
        <w:ind w:left="-5" w:right="15"/>
      </w:pPr>
      <w:r>
        <w:t xml:space="preserve">Associata a una idea di life-long </w:t>
      </w:r>
      <w:proofErr w:type="spellStart"/>
      <w:r>
        <w:t>learning</w:t>
      </w:r>
      <w:proofErr w:type="spellEnd"/>
      <w:r>
        <w:t>, cioè di un appr</w:t>
      </w:r>
      <w:r>
        <w:t xml:space="preserve">endimento permanente, che avviene nell’arco di tutta la vita, c’è anche l’idea che la scuola debba estendersi al di fuori delle aule ed aprirsi ad attori esterni. Lo </w:t>
      </w:r>
      <w:proofErr w:type="spellStart"/>
      <w:r>
        <w:t>Stakeholders</w:t>
      </w:r>
      <w:proofErr w:type="spellEnd"/>
      <w:r>
        <w:t xml:space="preserve">’ Club ideato dentro il PNSD comprende, quindi, tutte le collaborazioni del </w:t>
      </w:r>
      <w:proofErr w:type="spellStart"/>
      <w:r>
        <w:t>Mi</w:t>
      </w:r>
      <w:r>
        <w:t>ur</w:t>
      </w:r>
      <w:proofErr w:type="spellEnd"/>
      <w:r>
        <w:t xml:space="preserve"> con l’esterno, dall’impresa alla società civile.</w:t>
      </w:r>
    </w:p>
    <w:p w:rsidR="00A46057" w:rsidRDefault="00422659">
      <w:pPr>
        <w:ind w:left="-5" w:right="15"/>
      </w:pPr>
      <w:r>
        <w:t xml:space="preserve">Un esempio di queste collaborazioni è la piattaforma </w:t>
      </w:r>
      <w:r>
        <w:rPr>
          <w:b/>
        </w:rPr>
        <w:t>“Protocolli in rete”</w:t>
      </w:r>
      <w:r>
        <w:t xml:space="preserve">, un canale dove si </w:t>
      </w:r>
      <w:proofErr w:type="gramStart"/>
      <w:r>
        <w:t>possono  stipulare</w:t>
      </w:r>
      <w:proofErr w:type="gramEnd"/>
      <w:r>
        <w:t xml:space="preserve"> accordi operativi tra aziende e il mondo dell’istruzione</w:t>
      </w:r>
    </w:p>
    <w:p w:rsidR="00A46057" w:rsidRDefault="00422659">
      <w:pPr>
        <w:pStyle w:val="Titolo3"/>
        <w:ind w:left="-5"/>
      </w:pPr>
      <w:r>
        <w:t>31. UNA GALLERIA PER LA RACCOLTA DI PRATICHE</w:t>
      </w:r>
    </w:p>
    <w:p w:rsidR="00A46057" w:rsidRDefault="00422659">
      <w:pPr>
        <w:ind w:left="-5" w:right="15"/>
      </w:pPr>
      <w:r>
        <w:t>Il PNSD avrà un sito dove si potranno trovare tutti i dati relativi all’attuazione del Piano stesso, corredato da una galleria di esempi.</w:t>
      </w:r>
    </w:p>
    <w:p w:rsidR="00A46057" w:rsidRDefault="00422659">
      <w:pPr>
        <w:pStyle w:val="Titolo3"/>
        <w:ind w:left="-5"/>
      </w:pPr>
      <w:r>
        <w:t>32. DARE ALLE RETI INNOVATIVE UN ASCOLTO PERMANENTE</w:t>
      </w:r>
    </w:p>
    <w:p w:rsidR="00A46057" w:rsidRDefault="00422659">
      <w:pPr>
        <w:ind w:left="-5" w:right="15"/>
      </w:pPr>
      <w:r>
        <w:t>Le reti innovative saranno censite e mappate, per formare la “Rete</w:t>
      </w:r>
      <w:r>
        <w:t xml:space="preserve"> per l’innovazione nella scuola”, che verrà formalizzata attraverso una chiamata pubblica aperta a tutte quelle organizzazioni che fanno dell’innovazione e della scuola digitale la loro ragion d’essere.</w:t>
      </w:r>
    </w:p>
    <w:p w:rsidR="00A46057" w:rsidRDefault="00422659">
      <w:pPr>
        <w:pStyle w:val="Titolo3"/>
        <w:ind w:left="-5"/>
      </w:pPr>
      <w:r>
        <w:t>33. OSSERVATORIO PER LA SCUOLA DIGITALE</w:t>
      </w:r>
    </w:p>
    <w:p w:rsidR="00A46057" w:rsidRDefault="00422659">
      <w:pPr>
        <w:ind w:left="-5" w:right="15"/>
      </w:pPr>
      <w:r>
        <w:t>Il nuovo Osse</w:t>
      </w:r>
      <w:r>
        <w:t>rvatorio per la Scuola Digitale raccoglierà l’eredità del vecchio Osservatorio Tecnologico, e servirà per misurare il grado di innovazione digitale nella scuola. I dati che raccoglierà serviranno a capire come si muoveranno le scuole e come verrà attuato i</w:t>
      </w:r>
      <w:r>
        <w:t>l Piano.</w:t>
      </w:r>
    </w:p>
    <w:p w:rsidR="00A46057" w:rsidRDefault="00422659">
      <w:pPr>
        <w:pStyle w:val="Titolo3"/>
        <w:ind w:left="-5"/>
      </w:pPr>
      <w:r>
        <w:t>34. UN COMITATO SCIENTIFICO CHE ALLINEI IL PIANO ALLE PRATICHE INTERNAZIONALI</w:t>
      </w:r>
    </w:p>
    <w:p w:rsidR="00A46057" w:rsidRDefault="00422659">
      <w:pPr>
        <w:ind w:left="-5" w:right="15"/>
      </w:pPr>
      <w:r>
        <w:t>Il Piano avrà un comitato scientifico che servirà come “organo di garanzia” sulla sua attuazione. Verrà nominato entro la fine del 2015 e sarà convocato almeno 2 volte a</w:t>
      </w:r>
      <w:r>
        <w:t xml:space="preserve">ll’anno, con lo scopo di: monitorare l’andamento dei Piano, proporre modifiche, e allineare l’azione del </w:t>
      </w:r>
      <w:proofErr w:type="spellStart"/>
      <w:r>
        <w:t>Miur</w:t>
      </w:r>
      <w:proofErr w:type="spellEnd"/>
      <w:r>
        <w:t xml:space="preserve"> alle pratiche internazionali nella sfera educativa.</w:t>
      </w:r>
    </w:p>
    <w:p w:rsidR="00A46057" w:rsidRDefault="00422659">
      <w:pPr>
        <w:pStyle w:val="Titolo3"/>
        <w:ind w:left="-5"/>
      </w:pPr>
      <w:r>
        <w:t>35. IL MONITORAGGIO DELL’INTERO PIANO</w:t>
      </w:r>
    </w:p>
    <w:p w:rsidR="00A46057" w:rsidRDefault="00422659" w:rsidP="00426D98">
      <w:pPr>
        <w:ind w:left="-5" w:right="85"/>
      </w:pPr>
      <w:r>
        <w:rPr>
          <w:b/>
        </w:rPr>
        <w:t xml:space="preserve">Risorse: </w:t>
      </w:r>
      <w:r>
        <w:t>Le risorse per il monitoraggio del primo trienn</w:t>
      </w:r>
      <w:r>
        <w:t>io non sono ancora state precisate e saranno individuate a partire dall’anno 2016.</w:t>
      </w:r>
    </w:p>
    <w:sectPr w:rsidR="00A46057">
      <w:pgSz w:w="11900" w:h="16840"/>
      <w:pgMar w:top="609" w:right="543" w:bottom="60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7"/>
    <w:rsid w:val="00422659"/>
    <w:rsid w:val="00426D98"/>
    <w:rsid w:val="00A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073D"/>
  <w15:docId w15:val="{A3808016-733F-4DAD-9099-9B76BB8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13" w:line="286" w:lineRule="auto"/>
      <w:ind w:left="10" w:right="65" w:hanging="10"/>
    </w:pPr>
    <w:rPr>
      <w:rFonts w:ascii="Arial" w:eastAsia="Arial" w:hAnsi="Arial" w:cs="Arial"/>
      <w:color w:val="080000"/>
      <w:sz w:val="21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2"/>
      <w:outlineLvl w:val="0"/>
    </w:pPr>
    <w:rPr>
      <w:rFonts w:ascii="Arial" w:eastAsia="Arial" w:hAnsi="Arial" w:cs="Arial"/>
      <w:b/>
      <w:color w:val="080000"/>
      <w:sz w:val="3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66" w:line="269" w:lineRule="auto"/>
      <w:ind w:left="10" w:hanging="10"/>
      <w:outlineLvl w:val="1"/>
    </w:pPr>
    <w:rPr>
      <w:rFonts w:ascii="Arial" w:eastAsia="Arial" w:hAnsi="Arial" w:cs="Arial"/>
      <w:b/>
      <w:color w:val="08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38"/>
      <w:ind w:left="10" w:hanging="10"/>
      <w:outlineLvl w:val="2"/>
    </w:pPr>
    <w:rPr>
      <w:rFonts w:ascii="Arial" w:eastAsia="Arial" w:hAnsi="Arial" w:cs="Arial"/>
      <w:b/>
      <w:color w:val="08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80000"/>
      <w:sz w:val="2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80000"/>
      <w:sz w:val="35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8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chool.startupitalia.eu/38860/bandi/talent-italy-miur-mooc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3837</Words>
  <Characters>21876</Characters>
  <Application>Microsoft Office Word</Application>
  <DocSecurity>0</DocSecurity>
  <Lines>182</Lines>
  <Paragraphs>51</Paragraphs>
  <ScaleCrop>false</ScaleCrop>
  <Company/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Tutto il Piano Nazionale Scuola Digitale spiegato in 35 punti</dc:title>
  <dc:subject/>
  <dc:creator>Antonia Caridi</dc:creator>
  <cp:keywords/>
  <cp:lastModifiedBy>Antonia Caridi</cp:lastModifiedBy>
  <cp:revision>3</cp:revision>
  <dcterms:created xsi:type="dcterms:W3CDTF">2016-03-17T17:26:00Z</dcterms:created>
  <dcterms:modified xsi:type="dcterms:W3CDTF">2016-03-17T17:26:00Z</dcterms:modified>
</cp:coreProperties>
</file>